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0964d8k.htm"/>
      <w:bookmarkStart w:id="1" w:name="ksd32096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LeMaitre Vascular,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0"/>
        </w:rPr>
      </w:pPr>
      <w:r>
        <w:rPr>
          <w:rFonts w:ascii="Times New Roman" w:hAnsi="Times New Roman"/>
          <w:b/>
          <w:sz w:val="20"/>
        </w:rPr>
        <w:t>Commission File Number: 001-33092</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98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04-2825458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63 Second Avenue</w:t>
            </w:r>
          </w:p>
        </w:tc>
      </w:tr>
      <w:tr>
        <w:trPr/>
        <w:tc>
          <w:tcPr>
            <w:tcW w:w="5900" w:type="dxa"/>
            <w:tcBorders/>
            <w:vAlign w:val="center"/>
          </w:tcPr>
          <w:p>
            <w:pPr>
              <w:pStyle w:val="TableContents"/>
              <w:bidi w:val="0"/>
              <w:spacing w:before="0" w:after="283"/>
              <w:jc w:val="center"/>
              <w:rPr>
                <w:b/>
              </w:rPr>
            </w:pPr>
            <w:r>
              <w:rPr>
                <w:b/>
              </w:rPr>
              <w:t>Burlington, MA 01803</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160" w:after="0"/>
        <w:jc w:val="center"/>
        <w:rPr>
          <w:rFonts w:ascii="Times New Roman" w:hAnsi="Times New Roman"/>
          <w:b/>
          <w:sz w:val="20"/>
        </w:rPr>
      </w:pPr>
      <w:r>
        <w:rPr>
          <w:rFonts w:ascii="Times New Roman" w:hAnsi="Times New Roman"/>
          <w:b/>
          <w:sz w:val="20"/>
        </w:rPr>
        <w:t>781-221-2266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sz w:val="20"/>
        </w:rPr>
      </w:pPr>
      <w:r>
        <w:rPr>
          <w:rFonts w:ascii="Times New Roman" w:hAnsi="Times New Roman"/>
          <w:sz w:val="20"/>
        </w:rPr>
        <w:t>Securities registered pursuant to Section 12(b) of the Exchange Act:</w:t>
      </w:r>
    </w:p>
    <w:p>
      <w:pPr>
        <w:pStyle w:val="TextBody"/>
        <w:bidi w:val="0"/>
        <w:spacing w:before="0" w:after="0"/>
        <w:jc w:val="left"/>
        <w:rPr/>
      </w:pPr>
      <w:r>
        <w:rPr/>
        <w:t> </w:t>
      </w:r>
    </w:p>
    <w:tbl>
      <w:tblPr>
        <w:tblW w:w="7440" w:type="dxa"/>
        <w:jc w:val="left"/>
        <w:tblInd w:w="0" w:type="dxa"/>
        <w:tblLayout w:type="fixed"/>
        <w:tblCellMar>
          <w:top w:w="0" w:type="dxa"/>
          <w:left w:w="0" w:type="dxa"/>
          <w:bottom w:w="0" w:type="dxa"/>
          <w:right w:w="0" w:type="dxa"/>
        </w:tblCellMar>
      </w:tblPr>
      <w:tblGrid>
        <w:gridCol w:w="3980"/>
        <w:gridCol w:w="60"/>
        <w:gridCol w:w="71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LMAT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checkmark whether the company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4, 2026, LeMaitre Vascular, Inc. (the “Company”) issued a press release regarding its preliminary financial and operational results for the quarter ended June 30, 2026. A copy of the press release is furnished as Exhibit 99.1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including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U.S. Private Securities Litigation Reform Act of 1995. Statements regarding the Company’s business that are not historical facts may be “forward-looking statements” that involve risks and uncertainties. Forward-looking statements are based on management’s current, preliminary expectations and are subject to risks and uncertainties that could cause actual results to differ from the results predicted. These risks and uncertainties include risks and uncertainties included under the heading “Risk Factors” in the Company’s most recent Annual Report on Form 10-K, as updated by its subsequent filings with the SEC, all of which are available on the Company’s investor relations website at http://www.lemaitre.com and on the SEC’s website at http://www.sec.gov. Undue reliance should not be placed on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furnished or filed as part of this Report, as applicable: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20964dex991.htm">
              <w:r>
                <w:rPr>
                  <w:rStyle w:val="InternetLink"/>
                </w:rPr>
                <w:t xml:space="preserve">Press release issued by LeMaitre Vascular, Inc. on August 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28" w:type="dxa"/>
        <w:jc w:val="left"/>
        <w:tblInd w:w="0" w:type="dxa"/>
        <w:tblLayout w:type="fixed"/>
        <w:tblCellMar>
          <w:top w:w="0" w:type="dxa"/>
          <w:left w:w="0" w:type="dxa"/>
          <w:bottom w:w="0" w:type="dxa"/>
          <w:right w:w="0" w:type="dxa"/>
        </w:tblCellMar>
      </w:tblPr>
      <w:tblGrid>
        <w:gridCol w:w="2075"/>
        <w:gridCol w:w="60"/>
        <w:gridCol w:w="23"/>
        <w:gridCol w:w="60"/>
        <w:gridCol w:w="365"/>
        <w:gridCol w:w="60"/>
        <w:gridCol w:w="228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LeMaitre Vascular,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4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Dorian P. LeBlanc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DORIAN P. LEBLANC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Chief Financial Officer</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25"/>
        <w:gridCol w:w="120"/>
        <w:gridCol w:w="762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20964dex991.htm">
              <w:r>
                <w:rPr>
                  <w:rStyle w:val="InternetLink"/>
                </w:rPr>
                <w:t xml:space="preserve">Press release issued by LeMaitre Vascular, Inc. on August 4, 2026.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right"/>
        <w:rPr>
          <w:rFonts w:ascii="Times New Roman" w:hAnsi="Times New Roman"/>
          <w:b/>
          <w:sz w:val="20"/>
        </w:rPr>
      </w:pPr>
      <w:bookmarkStart w:id="2" w:name="d320964dex991.htm"/>
      <w:bookmarkStart w:id="3" w:name="ksd320964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LeMaitre Q2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BURLINGTON, MA, August 4, 2026 – LeMaitre Vascular, Inc. (Nasdaq: LMAT), a provider of vascular devices, implants, and services, today reported Q2 2026 results, announced a quarterly dividend of $0.25/share, and provided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Q2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$70.4mm, +10% (+10% organic) vs. Q2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72.1% (+210 bps)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 income $20.4mm (+26%)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 margin 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EPS $0.74 (+23%)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up $9.0mm sequentially to $376.2mm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Artegraft sales increased 34% in the quarter. Grafts (+23%), carotid shunts (+18%), and patches (+4%) each posted records, as did EMEA (+18%), APAC (+18%) and the Americas (+5%). Catheters were down 11% in the quarter due to recall-driven overstocking in Q2 2025. Q2 organic growth was 12% excluding catheters. </w:t>
      </w:r>
    </w:p>
    <w:p>
      <w:pPr>
        <w:pStyle w:val="TextBody"/>
        <w:bidi w:val="0"/>
        <w:spacing w:before="240" w:after="0"/>
        <w:jc w:val="left"/>
        <w:rPr>
          <w:rFonts w:ascii="Times New Roman" w:hAnsi="Times New Roman"/>
          <w:sz w:val="20"/>
        </w:rPr>
      </w:pPr>
      <w:r>
        <w:rPr>
          <w:rFonts w:ascii="Times New Roman" w:hAnsi="Times New Roman"/>
          <w:sz w:val="20"/>
        </w:rPr>
        <w:t xml:space="preserve">Gross margin of 72.1% was up 210 bps due to higher prices, mix shift, and operational efficiencies. Operating income of $20.4mm (+26%) also benefited from headcount restraint: 660 at 6/30/2026 vs. 658 at 6/30/2025. </w:t>
      </w:r>
    </w:p>
    <w:p>
      <w:pPr>
        <w:pStyle w:val="TextBody"/>
        <w:bidi w:val="0"/>
        <w:spacing w:before="240" w:after="0"/>
        <w:jc w:val="left"/>
        <w:rPr>
          <w:rFonts w:ascii="Times New Roman" w:hAnsi="Times New Roman"/>
          <w:sz w:val="20"/>
        </w:rPr>
      </w:pPr>
      <w:r>
        <w:rPr>
          <w:rFonts w:ascii="Times New Roman" w:hAnsi="Times New Roman"/>
          <w:sz w:val="20"/>
        </w:rPr>
        <w:t xml:space="preserve">Chairman/CEO George LeMaitre said, “Our focus on the Artegraft international launch paid off in Q2. The product is now approved in 56 countries, accounting for 21% of sales. So our largest product is now our fastest-growing product. To underpin the Artegraft launch and pave the way for RFA, we continue to build our sales force, go direct in new countries and we’re now undertaking six international warehouse expansions. $376m of cash provides strategic optionality.”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Outlook </w:t>
      </w:r>
    </w:p>
    <w:p>
      <w:pPr>
        <w:pStyle w:val="TextBody"/>
        <w:bidi w:val="0"/>
        <w:spacing w:before="0" w:after="0"/>
        <w:jc w:val="left"/>
        <w:rPr/>
      </w:pPr>
      <w:r>
        <w:rPr/>
        <w:t> </w:t>
      </w:r>
    </w:p>
    <w:tbl>
      <w:tblPr>
        <w:tblW w:w="9470" w:type="dxa"/>
        <w:jc w:val="center"/>
        <w:tblInd w:w="0" w:type="dxa"/>
        <w:tblLayout w:type="fixed"/>
        <w:tblCellMar>
          <w:top w:w="0" w:type="dxa"/>
          <w:left w:w="0" w:type="dxa"/>
          <w:bottom w:w="0" w:type="dxa"/>
          <w:right w:w="0" w:type="dxa"/>
        </w:tblCellMar>
      </w:tblPr>
      <w:tblGrid>
        <w:gridCol w:w="620"/>
        <w:gridCol w:w="120"/>
        <w:gridCol w:w="2795"/>
        <w:gridCol w:w="120"/>
        <w:gridCol w:w="2795"/>
        <w:gridCol w:w="120"/>
        <w:gridCol w:w="290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95" w:type="dxa"/>
            <w:tcBorders>
              <w:bottom w:val="single" w:sz="8" w:space="0" w:color="000000"/>
            </w:tcBorders>
            <w:tcMar>
              <w:bottom w:w="28" w:type="dxa"/>
            </w:tcMar>
            <w:vAlign w:val="bottom"/>
          </w:tcPr>
          <w:p>
            <w:pPr>
              <w:pStyle w:val="TableContents"/>
              <w:bidi w:val="0"/>
              <w:spacing w:before="0" w:after="283"/>
              <w:jc w:val="center"/>
              <w:rPr/>
            </w:pPr>
            <w:r>
              <w:rPr/>
              <w:t>Q3 2026 Guidance</w:t>
            </w:r>
          </w:p>
        </w:tc>
        <w:tc>
          <w:tcPr>
            <w:tcW w:w="120" w:type="dxa"/>
            <w:tcBorders/>
            <w:vAlign w:val="bottom"/>
          </w:tcPr>
          <w:p>
            <w:pPr>
              <w:pStyle w:val="TableContents"/>
              <w:bidi w:val="0"/>
              <w:spacing w:before="0" w:after="283"/>
              <w:jc w:val="left"/>
              <w:rPr/>
            </w:pPr>
            <w:r>
              <w:rPr/>
              <w:t>  </w:t>
            </w:r>
          </w:p>
        </w:tc>
        <w:tc>
          <w:tcPr>
            <w:tcW w:w="2795" w:type="dxa"/>
            <w:tcBorders>
              <w:bottom w:val="single" w:sz="8" w:space="0" w:color="000000"/>
            </w:tcBorders>
            <w:tcMar>
              <w:bottom w:w="28" w:type="dxa"/>
            </w:tcMar>
            <w:vAlign w:val="bottom"/>
          </w:tcPr>
          <w:p>
            <w:pPr>
              <w:pStyle w:val="TableContents"/>
              <w:bidi w:val="0"/>
              <w:spacing w:before="0" w:after="283"/>
              <w:jc w:val="center"/>
              <w:rPr/>
            </w:pPr>
            <w:r>
              <w:rPr/>
              <w:t>Q4 2026 Guidance</w:t>
            </w:r>
          </w:p>
        </w:tc>
        <w:tc>
          <w:tcPr>
            <w:tcW w:w="120" w:type="dxa"/>
            <w:tcBorders/>
            <w:vAlign w:val="bottom"/>
          </w:tcPr>
          <w:p>
            <w:pPr>
              <w:pStyle w:val="TableContents"/>
              <w:bidi w:val="0"/>
              <w:spacing w:before="0" w:after="283"/>
              <w:jc w:val="left"/>
              <w:rPr/>
            </w:pPr>
            <w:r>
              <w:rPr/>
              <w:t>  </w:t>
            </w:r>
          </w:p>
        </w:tc>
        <w:tc>
          <w:tcPr>
            <w:tcW w:w="2900" w:type="dxa"/>
            <w:tcBorders>
              <w:bottom w:val="single" w:sz="8" w:space="0" w:color="000000"/>
            </w:tcBorders>
            <w:tcMar>
              <w:bottom w:w="28" w:type="dxa"/>
            </w:tcMar>
            <w:vAlign w:val="bottom"/>
          </w:tcPr>
          <w:p>
            <w:pPr>
              <w:pStyle w:val="TableContents"/>
              <w:bidi w:val="0"/>
              <w:spacing w:before="0" w:after="283"/>
              <w:jc w:val="center"/>
              <w:rPr/>
            </w:pPr>
            <w:r>
              <w:rPr/>
              <w:t>Full Year Guidance</w:t>
            </w:r>
          </w:p>
        </w:tc>
      </w:tr>
      <w:tr>
        <w:trPr/>
        <w:tc>
          <w:tcPr>
            <w:tcW w:w="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$66.3mm - $68.3mm</w:t>
            </w:r>
          </w:p>
          <w:p>
            <w:pPr>
              <w:pStyle w:val="TableContents"/>
              <w:bidi w:val="0"/>
              <w:spacing w:before="0" w:after="20"/>
              <w:jc w:val="center"/>
              <w:rPr>
                <w:rFonts w:ascii="Times New Roman" w:hAnsi="Times New Roman"/>
                <w:sz w:val="20"/>
              </w:rPr>
            </w:pPr>
            <w:r>
              <w:rPr>
                <w:rFonts w:ascii="Times New Roman" w:hAnsi="Times New Roman"/>
                <w:sz w:val="20"/>
              </w:rPr>
              <w:t>(Mid $67.3mm, +10%, +11% org.)</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$71.1mm - $73.1mm</w:t>
            </w:r>
          </w:p>
          <w:p>
            <w:pPr>
              <w:pStyle w:val="TableContents"/>
              <w:bidi w:val="0"/>
              <w:spacing w:before="0" w:after="20"/>
              <w:jc w:val="center"/>
              <w:rPr>
                <w:rFonts w:ascii="Times New Roman" w:hAnsi="Times New Roman"/>
                <w:sz w:val="20"/>
              </w:rPr>
            </w:pPr>
            <w:r>
              <w:rPr>
                <w:rFonts w:ascii="Times New Roman" w:hAnsi="Times New Roman"/>
                <w:sz w:val="20"/>
              </w:rPr>
              <w:t>(Mid $72.1mm, +12%, +12% org.)</w:t>
            </w:r>
          </w:p>
        </w:tc>
        <w:tc>
          <w:tcPr>
            <w:tcW w:w="120" w:type="dxa"/>
            <w:tcBorders/>
            <w:shd w:fill="CCEEFF" w:val="clear"/>
            <w:vAlign w:val="bottom"/>
          </w:tcPr>
          <w:p>
            <w:pPr>
              <w:pStyle w:val="TableContents"/>
              <w:bidi w:val="0"/>
              <w:spacing w:before="0" w:after="283"/>
              <w:jc w:val="left"/>
              <w:rPr/>
            </w:pPr>
            <w:r>
              <w:rPr/>
              <w:t>  </w:t>
            </w:r>
          </w:p>
        </w:tc>
        <w:tc>
          <w:tcPr>
            <w:tcW w:w="2900" w:type="dxa"/>
            <w:tcBorders/>
            <w:shd w:fill="CCEEFF" w:val="clear"/>
            <w:vAlign w:val="bottom"/>
          </w:tcPr>
          <w:p>
            <w:pPr>
              <w:pStyle w:val="TableContents"/>
              <w:bidi w:val="0"/>
              <w:jc w:val="center"/>
              <w:rPr/>
            </w:pPr>
            <w:r>
              <w:rPr/>
              <w:t>$274.3mm - $278.3mm</w:t>
            </w:r>
          </w:p>
          <w:p>
            <w:pPr>
              <w:pStyle w:val="TableContents"/>
              <w:bidi w:val="0"/>
              <w:spacing w:before="0" w:after="20"/>
              <w:jc w:val="center"/>
              <w:rPr>
                <w:rFonts w:ascii="Times New Roman" w:hAnsi="Times New Roman"/>
                <w:sz w:val="20"/>
              </w:rPr>
            </w:pPr>
            <w:r>
              <w:rPr>
                <w:rFonts w:ascii="Times New Roman" w:hAnsi="Times New Roman"/>
                <w:sz w:val="20"/>
              </w:rPr>
              <w:t>(Mid $276.3mm, +11%, +11% org.)</w:t>
            </w:r>
          </w:p>
        </w:tc>
      </w:tr>
      <w:tr>
        <w:trPr/>
        <w:tc>
          <w:tcPr>
            <w:tcW w:w="620"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vAlign w:val="bottom"/>
          </w:tcPr>
          <w:p>
            <w:pPr>
              <w:pStyle w:val="TableContents"/>
              <w:bidi w:val="0"/>
              <w:spacing w:before="0" w:after="283"/>
              <w:jc w:val="left"/>
              <w:rPr/>
            </w:pPr>
            <w:r>
              <w:rPr/>
              <w:t>  </w:t>
            </w:r>
          </w:p>
        </w:tc>
        <w:tc>
          <w:tcPr>
            <w:tcW w:w="2795" w:type="dxa"/>
            <w:tcBorders/>
            <w:vAlign w:val="bottom"/>
          </w:tcPr>
          <w:p>
            <w:pPr>
              <w:pStyle w:val="TableContents"/>
              <w:bidi w:val="0"/>
              <w:spacing w:before="0" w:after="283"/>
              <w:jc w:val="center"/>
              <w:rPr/>
            </w:pPr>
            <w:r>
              <w:rPr/>
              <w:t>72.2%</w:t>
            </w:r>
          </w:p>
        </w:tc>
        <w:tc>
          <w:tcPr>
            <w:tcW w:w="120" w:type="dxa"/>
            <w:tcBorders/>
            <w:vAlign w:val="bottom"/>
          </w:tcPr>
          <w:p>
            <w:pPr>
              <w:pStyle w:val="TableContents"/>
              <w:bidi w:val="0"/>
              <w:spacing w:before="0" w:after="283"/>
              <w:jc w:val="left"/>
              <w:rPr/>
            </w:pPr>
            <w:r>
              <w:rPr/>
              <w:t>  </w:t>
            </w:r>
          </w:p>
        </w:tc>
        <w:tc>
          <w:tcPr>
            <w:tcW w:w="2795" w:type="dxa"/>
            <w:tcBorders/>
            <w:vAlign w:val="bottom"/>
          </w:tcPr>
          <w:p>
            <w:pPr>
              <w:pStyle w:val="TableContents"/>
              <w:bidi w:val="0"/>
              <w:spacing w:before="0" w:after="283"/>
              <w:jc w:val="center"/>
              <w:rPr/>
            </w:pPr>
            <w:r>
              <w:rPr/>
              <w:t>72.6%</w:t>
            </w:r>
          </w:p>
        </w:tc>
        <w:tc>
          <w:tcPr>
            <w:tcW w:w="120" w:type="dxa"/>
            <w:tcBorders/>
            <w:vAlign w:val="bottom"/>
          </w:tcPr>
          <w:p>
            <w:pPr>
              <w:pStyle w:val="TableContents"/>
              <w:bidi w:val="0"/>
              <w:spacing w:before="0" w:after="283"/>
              <w:jc w:val="left"/>
              <w:rPr/>
            </w:pPr>
            <w:r>
              <w:rPr/>
              <w:t>  </w:t>
            </w:r>
          </w:p>
        </w:tc>
        <w:tc>
          <w:tcPr>
            <w:tcW w:w="2900" w:type="dxa"/>
            <w:tcBorders/>
            <w:vAlign w:val="bottom"/>
          </w:tcPr>
          <w:p>
            <w:pPr>
              <w:pStyle w:val="TableContents"/>
              <w:bidi w:val="0"/>
              <w:spacing w:before="0" w:after="283"/>
              <w:jc w:val="center"/>
              <w:rPr/>
            </w:pPr>
            <w:r>
              <w:rPr/>
              <w:t>72.4%</w:t>
            </w:r>
          </w:p>
        </w:tc>
      </w:tr>
      <w:tr>
        <w:trPr/>
        <w:tc>
          <w:tcPr>
            <w:tcW w:w="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 Income</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$17.3mm - $18.8mm</w:t>
            </w:r>
          </w:p>
          <w:p>
            <w:pPr>
              <w:pStyle w:val="TableContents"/>
              <w:bidi w:val="0"/>
              <w:spacing w:before="0" w:after="20"/>
              <w:jc w:val="center"/>
              <w:rPr>
                <w:rFonts w:ascii="Times New Roman" w:hAnsi="Times New Roman"/>
                <w:sz w:val="20"/>
              </w:rPr>
            </w:pPr>
            <w:r>
              <w:rPr>
                <w:rFonts w:ascii="Times New Roman" w:hAnsi="Times New Roman"/>
                <w:sz w:val="20"/>
              </w:rPr>
              <w:t>(Mid $18.1mm, -11%, +7% adj.)</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$19.8mm - $21.2mm</w:t>
            </w:r>
          </w:p>
          <w:p>
            <w:pPr>
              <w:pStyle w:val="TableContents"/>
              <w:bidi w:val="0"/>
              <w:spacing w:before="0" w:after="20"/>
              <w:jc w:val="center"/>
              <w:rPr>
                <w:rFonts w:ascii="Times New Roman" w:hAnsi="Times New Roman"/>
                <w:sz w:val="20"/>
              </w:rPr>
            </w:pPr>
            <w:r>
              <w:rPr>
                <w:rFonts w:ascii="Times New Roman" w:hAnsi="Times New Roman"/>
                <w:sz w:val="20"/>
              </w:rPr>
              <w:t>(Mid $20.5mm, +9%)</w:t>
            </w:r>
          </w:p>
        </w:tc>
        <w:tc>
          <w:tcPr>
            <w:tcW w:w="120" w:type="dxa"/>
            <w:tcBorders/>
            <w:shd w:fill="CCEEFF" w:val="clear"/>
            <w:vAlign w:val="bottom"/>
          </w:tcPr>
          <w:p>
            <w:pPr>
              <w:pStyle w:val="TableContents"/>
              <w:bidi w:val="0"/>
              <w:spacing w:before="0" w:after="283"/>
              <w:jc w:val="left"/>
              <w:rPr/>
            </w:pPr>
            <w:r>
              <w:rPr/>
              <w:t>  </w:t>
            </w:r>
          </w:p>
        </w:tc>
        <w:tc>
          <w:tcPr>
            <w:tcW w:w="2900" w:type="dxa"/>
            <w:tcBorders/>
            <w:shd w:fill="CCEEFF" w:val="clear"/>
            <w:vAlign w:val="bottom"/>
          </w:tcPr>
          <w:p>
            <w:pPr>
              <w:pStyle w:val="TableContents"/>
              <w:bidi w:val="0"/>
              <w:jc w:val="center"/>
              <w:rPr/>
            </w:pPr>
            <w:r>
              <w:rPr/>
              <w:t>$75.3mm - $78.2mm</w:t>
            </w:r>
          </w:p>
          <w:p>
            <w:pPr>
              <w:pStyle w:val="TableContents"/>
              <w:bidi w:val="0"/>
              <w:spacing w:before="0" w:after="20"/>
              <w:jc w:val="center"/>
              <w:rPr>
                <w:rFonts w:ascii="Times New Roman" w:hAnsi="Times New Roman"/>
                <w:sz w:val="20"/>
              </w:rPr>
            </w:pPr>
            <w:r>
              <w:rPr>
                <w:rFonts w:ascii="Times New Roman" w:hAnsi="Times New Roman"/>
                <w:sz w:val="20"/>
              </w:rPr>
              <w:t>(Mid $76.8mm, +13%, +19% adj.)</w:t>
            </w:r>
          </w:p>
        </w:tc>
      </w:tr>
      <w:tr>
        <w:trPr/>
        <w:tc>
          <w:tcPr>
            <w:tcW w:w="620" w:type="dxa"/>
            <w:tcBorders/>
          </w:tcPr>
          <w:p>
            <w:pPr>
              <w:pStyle w:val="TableContents"/>
              <w:bidi w:val="0"/>
              <w:spacing w:before="0" w:after="0"/>
              <w:jc w:val="left"/>
              <w:rPr>
                <w:rFonts w:ascii="Times New Roman" w:hAnsi="Times New Roman"/>
                <w:sz w:val="20"/>
              </w:rPr>
            </w:pPr>
            <w:r>
              <w:rPr>
                <w:rFonts w:ascii="Times New Roman" w:hAnsi="Times New Roman"/>
                <w:sz w:val="20"/>
              </w:rPr>
              <w:t>Op. Margin (Mid)</w:t>
            </w:r>
          </w:p>
        </w:tc>
        <w:tc>
          <w:tcPr>
            <w:tcW w:w="120" w:type="dxa"/>
            <w:tcBorders/>
            <w:vAlign w:val="bottom"/>
          </w:tcPr>
          <w:p>
            <w:pPr>
              <w:pStyle w:val="TableContents"/>
              <w:bidi w:val="0"/>
              <w:spacing w:before="0" w:after="283"/>
              <w:jc w:val="left"/>
              <w:rPr/>
            </w:pPr>
            <w:r>
              <w:rPr/>
              <w:t>  </w:t>
            </w:r>
          </w:p>
        </w:tc>
        <w:tc>
          <w:tcPr>
            <w:tcW w:w="2795" w:type="dxa"/>
            <w:tcBorders/>
            <w:vAlign w:val="bottom"/>
          </w:tcPr>
          <w:p>
            <w:pPr>
              <w:pStyle w:val="TableContents"/>
              <w:bidi w:val="0"/>
              <w:spacing w:before="0" w:after="283"/>
              <w:jc w:val="center"/>
              <w:rPr/>
            </w:pPr>
            <w:r>
              <w:rPr/>
              <w:t>27%</w:t>
            </w:r>
          </w:p>
        </w:tc>
        <w:tc>
          <w:tcPr>
            <w:tcW w:w="120" w:type="dxa"/>
            <w:tcBorders/>
            <w:vAlign w:val="bottom"/>
          </w:tcPr>
          <w:p>
            <w:pPr>
              <w:pStyle w:val="TableContents"/>
              <w:bidi w:val="0"/>
              <w:spacing w:before="0" w:after="283"/>
              <w:jc w:val="left"/>
              <w:rPr/>
            </w:pPr>
            <w:r>
              <w:rPr/>
              <w:t>  </w:t>
            </w:r>
          </w:p>
        </w:tc>
        <w:tc>
          <w:tcPr>
            <w:tcW w:w="2795" w:type="dxa"/>
            <w:tcBorders/>
            <w:vAlign w:val="bottom"/>
          </w:tcPr>
          <w:p>
            <w:pPr>
              <w:pStyle w:val="TableContents"/>
              <w:bidi w:val="0"/>
              <w:spacing w:before="0" w:after="283"/>
              <w:jc w:val="center"/>
              <w:rPr/>
            </w:pPr>
            <w:r>
              <w:rPr/>
              <w:t>29%</w:t>
            </w:r>
          </w:p>
        </w:tc>
        <w:tc>
          <w:tcPr>
            <w:tcW w:w="120" w:type="dxa"/>
            <w:tcBorders/>
            <w:vAlign w:val="bottom"/>
          </w:tcPr>
          <w:p>
            <w:pPr>
              <w:pStyle w:val="TableContents"/>
              <w:bidi w:val="0"/>
              <w:spacing w:before="0" w:after="283"/>
              <w:jc w:val="left"/>
              <w:rPr/>
            </w:pPr>
            <w:r>
              <w:rPr/>
              <w:t>  </w:t>
            </w:r>
          </w:p>
        </w:tc>
        <w:tc>
          <w:tcPr>
            <w:tcW w:w="2900" w:type="dxa"/>
            <w:tcBorders/>
            <w:vAlign w:val="bottom"/>
          </w:tcPr>
          <w:p>
            <w:pPr>
              <w:pStyle w:val="TableContents"/>
              <w:bidi w:val="0"/>
              <w:spacing w:before="0" w:after="283"/>
              <w:jc w:val="center"/>
              <w:rPr/>
            </w:pPr>
            <w:r>
              <w:rPr/>
              <w:t>28%</w:t>
            </w:r>
          </w:p>
        </w:tc>
      </w:tr>
      <w:tr>
        <w:trPr/>
        <w:tc>
          <w:tcPr>
            <w:tcW w:w="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EPS</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$0.66 - $0.71</w:t>
            </w:r>
          </w:p>
          <w:p>
            <w:pPr>
              <w:pStyle w:val="TableContents"/>
              <w:bidi w:val="0"/>
              <w:spacing w:before="0" w:after="20"/>
              <w:jc w:val="center"/>
              <w:rPr>
                <w:rFonts w:ascii="Times New Roman" w:hAnsi="Times New Roman"/>
                <w:sz w:val="20"/>
              </w:rPr>
            </w:pPr>
            <w:r>
              <w:rPr>
                <w:rFonts w:ascii="Times New Roman" w:hAnsi="Times New Roman"/>
                <w:sz w:val="20"/>
              </w:rPr>
              <w:t>(Mid $0.69, -9%, +11% adj.)</w:t>
            </w:r>
          </w:p>
        </w:tc>
        <w:tc>
          <w:tcPr>
            <w:tcW w:w="120" w:type="dxa"/>
            <w:tcBorders/>
            <w:shd w:fill="CCEEFF" w:val="clear"/>
            <w:vAlign w:val="bottom"/>
          </w:tcPr>
          <w:p>
            <w:pPr>
              <w:pStyle w:val="TableContents"/>
              <w:bidi w:val="0"/>
              <w:spacing w:before="0" w:after="283"/>
              <w:jc w:val="left"/>
              <w:rPr/>
            </w:pPr>
            <w:r>
              <w:rPr/>
              <w:t>  </w:t>
            </w:r>
          </w:p>
        </w:tc>
        <w:tc>
          <w:tcPr>
            <w:tcW w:w="2795" w:type="dxa"/>
            <w:tcBorders/>
            <w:shd w:fill="CCEEFF" w:val="clear"/>
            <w:vAlign w:val="bottom"/>
          </w:tcPr>
          <w:p>
            <w:pPr>
              <w:pStyle w:val="TableContents"/>
              <w:bidi w:val="0"/>
              <w:jc w:val="center"/>
              <w:rPr/>
            </w:pPr>
            <w:r>
              <w:rPr/>
              <w:t>$0.75 - $0.81</w:t>
            </w:r>
          </w:p>
          <w:p>
            <w:pPr>
              <w:pStyle w:val="TableContents"/>
              <w:bidi w:val="0"/>
              <w:spacing w:before="0" w:after="20"/>
              <w:jc w:val="center"/>
              <w:rPr>
                <w:rFonts w:ascii="Times New Roman" w:hAnsi="Times New Roman"/>
                <w:sz w:val="20"/>
              </w:rPr>
            </w:pPr>
            <w:r>
              <w:rPr>
                <w:rFonts w:ascii="Times New Roman" w:hAnsi="Times New Roman"/>
                <w:sz w:val="20"/>
              </w:rPr>
              <w:t>(Mid $0.78, +15%)</w:t>
            </w:r>
          </w:p>
        </w:tc>
        <w:tc>
          <w:tcPr>
            <w:tcW w:w="120" w:type="dxa"/>
            <w:tcBorders/>
            <w:shd w:fill="CCEEFF" w:val="clear"/>
            <w:vAlign w:val="bottom"/>
          </w:tcPr>
          <w:p>
            <w:pPr>
              <w:pStyle w:val="TableContents"/>
              <w:bidi w:val="0"/>
              <w:spacing w:before="0" w:after="283"/>
              <w:jc w:val="left"/>
              <w:rPr/>
            </w:pPr>
            <w:r>
              <w:rPr/>
              <w:t>  </w:t>
            </w:r>
          </w:p>
        </w:tc>
        <w:tc>
          <w:tcPr>
            <w:tcW w:w="2900" w:type="dxa"/>
            <w:tcBorders/>
            <w:shd w:fill="CCEEFF" w:val="clear"/>
            <w:vAlign w:val="bottom"/>
          </w:tcPr>
          <w:p>
            <w:pPr>
              <w:pStyle w:val="TableContents"/>
              <w:bidi w:val="0"/>
              <w:jc w:val="center"/>
              <w:rPr/>
            </w:pPr>
            <w:r>
              <w:rPr/>
              <w:t>$2.84 - $2.94</w:t>
            </w:r>
          </w:p>
          <w:p>
            <w:pPr>
              <w:pStyle w:val="TableContents"/>
              <w:bidi w:val="0"/>
              <w:spacing w:before="0" w:after="20"/>
              <w:jc w:val="center"/>
              <w:rPr>
                <w:rFonts w:ascii="Times New Roman" w:hAnsi="Times New Roman"/>
                <w:sz w:val="20"/>
              </w:rPr>
            </w:pPr>
            <w:r>
              <w:rPr>
                <w:rFonts w:ascii="Times New Roman" w:hAnsi="Times New Roman"/>
                <w:sz w:val="20"/>
              </w:rPr>
              <w:t>(Mid $2.89, +15%, +21% adj.)</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Q3 2025 results included a non-recurring benefit from the Employee Retention Tax Credit. Non-GAAP adjusted figures exclude this benefit. A reconciliation of GAAP to non-GAAP projected results is included.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Quarterly Dividend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the Company’s Board of Directors approved a quarterly dividend of $0.25/share of common stock. The dividend will be paid on September 3, 2026, to stockholders of record on August 20, 2026.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February 19, 2026, the Company’s Board of Directors authorized the repurchase of up to $100.0mm of the Company’s common stock. The repurchase program may be suspended or discontinued at any time and will conclude on February 18, 2027, unless extended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Reminder </w:t>
      </w:r>
    </w:p>
    <w:p>
      <w:pPr>
        <w:pStyle w:val="TextBody"/>
        <w:bidi w:val="0"/>
        <w:spacing w:before="120" w:after="0"/>
        <w:jc w:val="left"/>
        <w:rPr>
          <w:rFonts w:ascii="Times New Roman" w:hAnsi="Times New Roman"/>
          <w:sz w:val="20"/>
        </w:rPr>
      </w:pPr>
      <w:r>
        <w:rPr>
          <w:rFonts w:ascii="Times New Roman" w:hAnsi="Times New Roman"/>
          <w:sz w:val="20"/>
        </w:rPr>
        <w:t>Management will conduct a conference call at 5:00pm ET today. The conference call will be broadcast live over the Internet. Individuals interested in listening to the webcast can log on to the Company’s website at </w:t>
      </w:r>
      <w:r>
        <w:rPr>
          <w:rFonts w:ascii="Times New Roman" w:hAnsi="Times New Roman"/>
          <w:sz w:val="20"/>
          <w:u w:val="single"/>
        </w:rPr>
        <w:t>www.lemaitre.com/investor</w:t>
      </w:r>
      <w:r>
        <w:rPr>
          <w:rFonts w:ascii="Times New Roman" w:hAnsi="Times New Roman"/>
          <w:sz w:val="20"/>
        </w:rPr>
        <w:t xml:space="preserve">. Access to the live call is available by registering online </w:t>
      </w:r>
      <w:r>
        <w:rPr>
          <w:rFonts w:ascii="Times New Roman" w:hAnsi="Times New Roman"/>
          <w:sz w:val="20"/>
          <w:u w:val="single"/>
        </w:rPr>
        <w:t>here</w:t>
      </w:r>
      <w:r>
        <w:rPr>
          <w:rFonts w:ascii="Times New Roman" w:hAnsi="Times New Roman"/>
          <w:sz w:val="20"/>
        </w:rPr>
        <w:t xml:space="preserve">. All registrants will receive dial-in information and a PIN allowing them to access the live call. The audio webcast can also be accessed live or via replay through a webcast at </w:t>
      </w:r>
      <w:r>
        <w:rPr>
          <w:rFonts w:ascii="Times New Roman" w:hAnsi="Times New Roman"/>
          <w:sz w:val="20"/>
          <w:u w:val="single"/>
        </w:rPr>
        <w:t>www.lemaitre.com/investor</w:t>
      </w:r>
      <w:r>
        <w:rPr>
          <w:rFonts w:ascii="Times New Roman" w:hAnsi="Times New Roman"/>
          <w:sz w:val="20"/>
        </w:rPr>
        <w:t xml:space="preserve">. For individuals unable to join the live conference call, a replay will be available on the Company’s website.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GAAP to non-GAAP results is included in the tables attached to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About LeMaitre </w:t>
      </w:r>
    </w:p>
    <w:p>
      <w:pPr>
        <w:pStyle w:val="TextBody"/>
        <w:bidi w:val="0"/>
        <w:spacing w:before="120" w:after="0"/>
        <w:jc w:val="left"/>
        <w:rPr>
          <w:rFonts w:ascii="Times New Roman" w:hAnsi="Times New Roman"/>
          <w:sz w:val="20"/>
        </w:rPr>
      </w:pPr>
      <w:r>
        <w:rPr>
          <w:rFonts w:ascii="Times New Roman" w:hAnsi="Times New Roman"/>
          <w:sz w:val="20"/>
        </w:rPr>
        <w:t xml:space="preserve">LeMaitre is a provider of devices, implants, and services for the treatment of peripheral vascular disease, a condition that affects more than 200 million people worldwide. The Company develops, manufactures, and markets disposable and implantable vascular devices to address the needs of its core customer, the vascular surgeon. </w:t>
      </w:r>
    </w:p>
    <w:p>
      <w:pPr>
        <w:pStyle w:val="TextBody"/>
        <w:bidi w:val="0"/>
        <w:spacing w:before="240" w:after="0"/>
        <w:jc w:val="left"/>
        <w:rPr>
          <w:rFonts w:ascii="Times New Roman" w:hAnsi="Times New Roman"/>
          <w:sz w:val="20"/>
        </w:rPr>
      </w:pPr>
      <w:r>
        <w:rPr>
          <w:rFonts w:ascii="Times New Roman" w:hAnsi="Times New Roman"/>
          <w:sz w:val="20"/>
        </w:rPr>
        <w:t xml:space="preserve">LeMaitre is a registered trademark of LeMaitre Vascular, Inc. This press release may include other trademarks and trade names of the Company. </w:t>
      </w:r>
    </w:p>
    <w:p>
      <w:pPr>
        <w:pStyle w:val="TextBody"/>
        <w:bidi w:val="0"/>
        <w:spacing w:before="240" w:after="0"/>
        <w:jc w:val="left"/>
        <w:rPr>
          <w:rFonts w:ascii="Times New Roman" w:hAnsi="Times New Roman"/>
          <w:sz w:val="20"/>
        </w:rPr>
      </w:pPr>
      <w:r>
        <w:rPr>
          <w:rFonts w:ascii="Times New Roman" w:hAnsi="Times New Roman"/>
          <w:sz w:val="20"/>
        </w:rPr>
        <w:t>For more information about the Company, please visit </w:t>
      </w:r>
      <w:r>
        <w:rPr>
          <w:rFonts w:ascii="Times New Roman" w:hAnsi="Times New Roman"/>
          <w:sz w:val="20"/>
          <w:u w:val="single"/>
        </w:rPr>
        <w:t>www.lemaitre.com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LeMaitre management believes that in order to better understand the Company’s short- and long-term financial trends, investors may wish to consider certain non-GAAP financial measures as a supplement to financial performance measures prepared in accordance with GAAP. Non-GAAP financial measures are not based on a comprehensive set of accounting rules or principles and do not have standardized meanings. These non-GAAP measures result from facts and circumstances that may vary in frequency and/or impact on continuing operations. Non-GAAP measures should be considered in addition to, and not as a substitute for, GAAP financial performance measures. In addition to the description provided below, reconciliation of GAAP to non-GAAP results is provided in the financial statement tables included in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In this press release, the Company has reported non-GAAP sales growth percentages after adjusting for the impact of foreign currency exchange, business development transactions, and/or other events. The Company refers to the calculation of non-GAAP sales growth percentages as “organic” or “adjusted.” The Company analyzes non-GAAP sales on a constant currency basis, net of acquisitions and other non-recurring events. Because changes in foreign currency exchange rates have a non-operating impact on net sales, and acquisitions, divestitures, product discontinuations, factory closures, and other strategic transactions are episodic in nature and are highly variable to the reported sales results, the Company believes that evaluating growth in sales on a constant currency basis net of such transactions provides an additional and meaningful assessment of sales to management. Additionally, the Company has provided percentages for operating income and EPS guidance adjusted to exclude the effects of the employee retention tax credit received in 2025. Management believes that viewing projected growth in operating income and EPS excluding those effects provides an alternative and meaningful view of the Company’s projected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Investors are encouraged to review the reconciliation of these non-GAAP financial measures to their most directly comparable GAAP financial measures set forth in the tables captioned “Reconciliation of GAAP to Non-GAAP Financial Measures”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current financial results, as discussed in this release, are preliminary and unaudited, and subject to adjustment. This press release contains forward-looking statements within the meaning of the U.S. Private Securities Litigation Reform Act of 1995. Statements in this press release regarding the Company’s business that are not historical facts may be “forward-looking statements” that involve risks and uncertainties. Forward-looking statements are based on management’s current, preliminary expectations and are subject to risks and uncertainties that could cause actual results to differ from the results expected, including, but not limited to, our ability to maintain historic levels of profit growth; our ability to increase the selling prices of our products; the status of our regulatory approvals, compliance with regulatory requirements, and the potential for adverse regulatory findings or enforcement actions arising from inspections, audits, or other regulatory reviews, affecting our ability to market and sell our products domestically and internationally; competition from other medical device companies and alternative medical technologies; our ability to source, acquire, and integrate acquisitions; our dependence on sole- or limited-source suppliers; our ability to engage sales call points other than vascular surgeons; disruptions to our information technology systems or breaches of our information security systems; our implementation of our new enterprise resource planning system; our ability to procure, process, and preserve human tissue and comply with relevant regulatory requirements; the impact of a disruption in our manufacturing facilities; our ability to navigate the risks inherent in operating internationally; our ability to transition to direct sales models in certain international territories; the occurrence of litigation relating to product liability, employment matters, intellectual property, contract disputes, and other matters; the occurrence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product defects or recalls; our ability to service and repurchase our debt; the dilutive effect of a conversion of our debt; our ability to navigate executive officer transitions and retain key personnel; our ability to protect our intellectual property; volatility in the price of our common stock; and other risks and uncertainties included under the heading “Risk Factors” in our most recent Annual Report on Form 10-K, as updated by our subsequent filings with the SEC, which are all available on the Company’s investor relations website at http://www.lemaitre.com and on the SEC’s website at http://www.sec.gov. Undue reliance should not be placed on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 </w:t>
      </w:r>
    </w:p>
    <w:p>
      <w:pPr>
        <w:pStyle w:val="TextBody"/>
        <w:bidi w:val="0"/>
        <w:spacing w:before="240" w:after="0"/>
        <w:jc w:val="left"/>
        <w:rPr>
          <w:rFonts w:ascii="Times New Roman" w:hAnsi="Times New Roman"/>
          <w:sz w:val="20"/>
        </w:rPr>
      </w:pPr>
      <w:r>
        <w:rPr>
          <w:rFonts w:ascii="Times New Roman" w:hAnsi="Times New Roman"/>
          <w:sz w:val="20"/>
        </w:rPr>
        <w:t>CONTACT:</w:t>
      </w:r>
    </w:p>
    <w:p>
      <w:pPr>
        <w:pStyle w:val="TextBody"/>
        <w:bidi w:val="0"/>
        <w:spacing w:before="0" w:after="0"/>
        <w:jc w:val="left"/>
        <w:rPr>
          <w:rFonts w:ascii="Times New Roman" w:hAnsi="Times New Roman"/>
          <w:sz w:val="20"/>
        </w:rPr>
      </w:pPr>
      <w:r>
        <w:rPr>
          <w:rFonts w:ascii="Times New Roman" w:hAnsi="Times New Roman"/>
          <w:sz w:val="20"/>
        </w:rPr>
        <w:t xml:space="preserve">Gregory Manker </w:t>
      </w:r>
    </w:p>
    <w:p>
      <w:pPr>
        <w:pStyle w:val="TextBody"/>
        <w:bidi w:val="0"/>
        <w:spacing w:before="0" w:after="0"/>
        <w:jc w:val="left"/>
        <w:rPr>
          <w:rFonts w:ascii="Times New Roman" w:hAnsi="Times New Roman"/>
          <w:sz w:val="20"/>
        </w:rPr>
      </w:pPr>
      <w:r>
        <w:rPr>
          <w:rFonts w:ascii="Times New Roman" w:hAnsi="Times New Roman"/>
          <w:sz w:val="20"/>
        </w:rPr>
        <w:t xml:space="preserve">Director of Business Development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ir@LEMAITRE.COM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3"/>
        <w:gridCol w:w="383"/>
        <w:gridCol w:w="210"/>
        <w:gridCol w:w="1212"/>
        <w:gridCol w:w="155"/>
        <w:gridCol w:w="331"/>
        <w:gridCol w:w="291"/>
        <w:gridCol w:w="1721"/>
        <w:gridCol w:w="159"/>
      </w:tblGrid>
      <w:tr>
        <w:trPr/>
        <w:tc>
          <w:tcPr>
            <w:tcW w:w="5743"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22"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26,625</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21" w:type="dxa"/>
            <w:tcBorders/>
            <w:shd w:fill="CCEEFF" w:val="clear"/>
            <w:vAlign w:val="bottom"/>
          </w:tcPr>
          <w:p>
            <w:pPr>
              <w:pStyle w:val="TableContents"/>
              <w:bidi w:val="0"/>
              <w:spacing w:before="0" w:after="283"/>
              <w:jc w:val="right"/>
              <w:rPr/>
            </w:pPr>
            <w:r>
              <w:rPr/>
              <w:t>28,244</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Short-term marketable securities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349,615</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330,876</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35,682</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33,610</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Inventory and other deferred costs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70,503</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70,422</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5,872</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5,080</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488,297</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468,232</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29,591</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26,997</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Right-of-use leased assets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19,998</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15,762</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65,945</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65,945</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30,544</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33,089</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759</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5,440</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4,906</w:t>
            </w:r>
          </w:p>
        </w:tc>
        <w:tc>
          <w:tcPr>
            <w:tcW w:w="159"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640,549</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21" w:type="dxa"/>
            <w:tcBorders/>
            <w:shd w:fill="CCEEFF" w:val="clear"/>
            <w:vAlign w:val="bottom"/>
          </w:tcPr>
          <w:p>
            <w:pPr>
              <w:pStyle w:val="TableContents"/>
              <w:bidi w:val="0"/>
              <w:spacing w:before="0" w:after="283"/>
              <w:jc w:val="right"/>
              <w:rPr/>
            </w:pPr>
            <w:r>
              <w:rPr/>
              <w:t>615,690</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stockholders’ equity</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3,236</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721" w:type="dxa"/>
            <w:tcBorders/>
            <w:vAlign w:val="bottom"/>
          </w:tcPr>
          <w:p>
            <w:pPr>
              <w:pStyle w:val="TableContents"/>
              <w:bidi w:val="0"/>
              <w:spacing w:before="0" w:after="283"/>
              <w:jc w:val="right"/>
              <w:rPr/>
            </w:pPr>
            <w:r>
              <w:rPr/>
              <w:t>3,646</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22,880</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29,411</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Acquisition-related obligations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380</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322</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 short-term</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3,439</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2,944</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29,935</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36,323</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senior notes, net</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169,091</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168,645</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 long-term</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17,724</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14,003</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1,998</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1,735</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1,459</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1,468</w:t>
            </w:r>
          </w:p>
        </w:tc>
        <w:tc>
          <w:tcPr>
            <w:tcW w:w="159"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220,207</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222,174</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245</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244</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236,161</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228,407</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206,017</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184,715</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(4,165</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(2,411</w:t>
            </w:r>
          </w:p>
        </w:tc>
        <w:tc>
          <w:tcPr>
            <w:tcW w:w="159"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(17,916</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(17,439</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420,342</w:t>
            </w:r>
          </w:p>
        </w:tc>
        <w:tc>
          <w:tcPr>
            <w:tcW w:w="155"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393,516</w:t>
            </w:r>
          </w:p>
        </w:tc>
        <w:tc>
          <w:tcPr>
            <w:tcW w:w="159"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8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640,549</w:t>
            </w:r>
          </w:p>
        </w:tc>
        <w:tc>
          <w:tcPr>
            <w:tcW w:w="155"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21" w:type="dxa"/>
            <w:tcBorders/>
            <w:shd w:fill="CCEEFF" w:val="clear"/>
            <w:vAlign w:val="bottom"/>
          </w:tcPr>
          <w:p>
            <w:pPr>
              <w:pStyle w:val="TableContents"/>
              <w:bidi w:val="0"/>
              <w:spacing w:before="0" w:after="283"/>
              <w:jc w:val="right"/>
              <w:rPr/>
            </w:pPr>
            <w:r>
              <w:rPr/>
              <w:t>615,690</w:t>
            </w:r>
          </w:p>
        </w:tc>
        <w:tc>
          <w:tcPr>
            <w:tcW w:w="159"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 OF OPERATIONS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except per share amounts)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7"/>
        <w:gridCol w:w="208"/>
        <w:gridCol w:w="241"/>
        <w:gridCol w:w="1181"/>
        <w:gridCol w:w="155"/>
        <w:gridCol w:w="155"/>
        <w:gridCol w:w="241"/>
        <w:gridCol w:w="1181"/>
        <w:gridCol w:w="155"/>
        <w:gridCol w:w="155"/>
        <w:gridCol w:w="210"/>
        <w:gridCol w:w="1209"/>
        <w:gridCol w:w="155"/>
        <w:gridCol w:w="155"/>
        <w:gridCol w:w="209"/>
        <w:gridCol w:w="1209"/>
        <w:gridCol w:w="159"/>
      </w:tblGrid>
      <w:tr>
        <w:trPr/>
        <w:tc>
          <w:tcPr>
            <w:tcW w:w="3227"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31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59" w:type="dxa"/>
            <w:tcBorders/>
            <w:vAlign w:val="bottom"/>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70,382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64,232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136,933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124,103</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19,618</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19,258</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37,773</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37,709</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50,764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44,974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99,160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86,394</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14,408</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14,895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28,923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29,107</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11,110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10,396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23,156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20,883</w:t>
            </w:r>
          </w:p>
        </w:tc>
        <w:tc>
          <w:tcPr>
            <w:tcW w:w="159" w:type="dxa"/>
            <w:tcBorders/>
            <w:vAlign w:val="bottom"/>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4,847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3,541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8,907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7,636</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30,365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28,832</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60,986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57,626</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20,399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16,142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38,174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28,768</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3,386</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2,980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6,710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5,883</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(1,302</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(1,299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(2,602</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(2,589</w:t>
            </w:r>
          </w:p>
        </w:tc>
        <w:tc>
          <w:tcPr>
            <w:tcW w:w="159" w:type="dxa"/>
            <w:tcBorders/>
            <w:vAlign w:val="bottom"/>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(294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249</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22,189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18,070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41,861</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32,311</w:t>
            </w:r>
          </w:p>
        </w:tc>
        <w:tc>
          <w:tcPr>
            <w:tcW w:w="159" w:type="dxa"/>
            <w:tcBorders/>
            <w:vAlign w:val="bottom"/>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5,139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4,291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9,132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7,521</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17,050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13,779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32,729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24,790</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 of common stock</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0.75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0.61</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1.10</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0.74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0.60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1.08</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Weighted - average shares outstanding:</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22,858</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22,614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22,830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22,592</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24,531</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22,892</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24,505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22,896</w:t>
            </w:r>
          </w:p>
        </w:tc>
        <w:tc>
          <w:tcPr>
            <w:tcW w:w="159" w:type="dxa"/>
            <w:tcBorders/>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dividends declared per common share</w:t>
            </w:r>
          </w:p>
        </w:tc>
        <w:tc>
          <w:tcPr>
            <w:tcW w:w="208"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0.20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0.40</w:t>
            </w:r>
          </w:p>
        </w:tc>
        <w:tc>
          <w:tcPr>
            <w:tcW w:w="159" w:type="dxa"/>
            <w:tcBorders/>
            <w:shd w:fill="CCEEFF" w:val="clear"/>
            <w:vAlign w:val="bottom"/>
          </w:tcPr>
          <w:p>
            <w:pPr>
              <w:pStyle w:val="TableContents"/>
              <w:bidi w:val="0"/>
              <w:spacing w:before="0" w:after="283"/>
              <w:jc w:val="left"/>
              <w:rPr/>
            </w:pPr>
            <w:r>
              <w:rPr/>
              <w:t> </w:t>
            </w:r>
          </w:p>
        </w:tc>
      </w:tr>
      <w:tr>
        <w:trPr/>
        <w:tc>
          <w:tcPr>
            <w:tcW w:w="3227"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3"/>
        <w:gridCol w:w="298"/>
        <w:gridCol w:w="195"/>
        <w:gridCol w:w="1232"/>
        <w:gridCol w:w="155"/>
        <w:gridCol w:w="251"/>
        <w:gridCol w:w="221"/>
        <w:gridCol w:w="1212"/>
        <w:gridCol w:w="158"/>
      </w:tblGrid>
      <w:tr>
        <w:trPr/>
        <w:tc>
          <w:tcPr>
            <w:tcW w:w="6483"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83"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32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32,729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24,790</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5,285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5,200</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4,027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3,990</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issuance costs on convertible notes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446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433</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investment income</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(805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inventory write-downs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1,548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1,030</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337</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transaction effect on income</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(279</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(2,877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(5,299</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and other deferred costs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(1,935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(3,454</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(1,363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1,676</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other liabilities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(6,475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(1,250</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2,156</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31,058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29,330</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short-term marketable securities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(231,434</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(17,849</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(5,096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(2,725</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related to acquisitions, net of cash acquired</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(158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(95</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short-term marketable securities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212,489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(24,199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(20,669</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stock option exercises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3,728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3,072</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Deferred payments for acquisitions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(1,433</w:t>
            </w:r>
          </w:p>
        </w:tc>
        <w:tc>
          <w:tcPr>
            <w:tcW w:w="158" w:type="dxa"/>
            <w:tcBorders/>
            <w:vAlign w:val="bottom"/>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withholding taxes in connection with net settlement of equity awards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(477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(605</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cash dividend paid</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(11,427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(9,037</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(8,271</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(8,003</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909</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(1,619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1,567</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28,244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25,610</w:t>
            </w:r>
          </w:p>
        </w:tc>
        <w:tc>
          <w:tcPr>
            <w:tcW w:w="158"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29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26,625</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27,177</w:t>
            </w:r>
          </w:p>
        </w:tc>
        <w:tc>
          <w:tcPr>
            <w:tcW w:w="158"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SELECTED NET SALES INFORMATION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3"/>
        <w:gridCol w:w="137"/>
        <w:gridCol w:w="140"/>
        <w:gridCol w:w="711"/>
        <w:gridCol w:w="60"/>
        <w:gridCol w:w="137"/>
        <w:gridCol w:w="60"/>
        <w:gridCol w:w="380"/>
        <w:gridCol w:w="282"/>
        <w:gridCol w:w="81"/>
        <w:gridCol w:w="140"/>
        <w:gridCol w:w="711"/>
        <w:gridCol w:w="59"/>
        <w:gridCol w:w="137"/>
        <w:gridCol w:w="60"/>
        <w:gridCol w:w="380"/>
        <w:gridCol w:w="282"/>
        <w:gridCol w:w="81"/>
        <w:gridCol w:w="140"/>
        <w:gridCol w:w="823"/>
        <w:gridCol w:w="60"/>
        <w:gridCol w:w="137"/>
        <w:gridCol w:w="60"/>
        <w:gridCol w:w="380"/>
        <w:gridCol w:w="282"/>
        <w:gridCol w:w="81"/>
        <w:gridCol w:w="140"/>
        <w:gridCol w:w="823"/>
        <w:gridCol w:w="60"/>
        <w:gridCol w:w="136"/>
        <w:gridCol w:w="60"/>
        <w:gridCol w:w="380"/>
        <w:gridCol w:w="292"/>
      </w:tblGrid>
      <w:tr>
        <w:trPr/>
        <w:tc>
          <w:tcPr>
            <w:tcW w:w="251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51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33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35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292"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5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292"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92"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Net Sales by Geography</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43,454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62</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41,321</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64</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85,050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62</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80,279</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65</w:t>
            </w:r>
          </w:p>
        </w:tc>
        <w:tc>
          <w:tcPr>
            <w:tcW w:w="292"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22,137</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31</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18,840</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29</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42,424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31</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35,799</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29</w:t>
            </w:r>
          </w:p>
        </w:tc>
        <w:tc>
          <w:tcPr>
            <w:tcW w:w="292"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4,791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4,071</w:t>
            </w:r>
          </w:p>
        </w:tc>
        <w:tc>
          <w:tcPr>
            <w:tcW w:w="5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9,459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7</w:t>
            </w:r>
          </w:p>
        </w:tc>
        <w:tc>
          <w:tcPr>
            <w:tcW w:w="28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8,025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6</w:t>
            </w:r>
          </w:p>
        </w:tc>
        <w:tc>
          <w:tcPr>
            <w:tcW w:w="292"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Sales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70,382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64,232</w:t>
            </w:r>
          </w:p>
        </w:tc>
        <w:tc>
          <w:tcPr>
            <w:tcW w:w="5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136,933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124,103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100</w:t>
            </w:r>
          </w:p>
        </w:tc>
        <w:tc>
          <w:tcPr>
            <w:tcW w:w="292" w:type="dxa"/>
            <w:tcBorders/>
            <w:shd w:fill="CCEEFF" w:val="clear"/>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6"/>
        <w:gridCol w:w="226"/>
        <w:gridCol w:w="241"/>
        <w:gridCol w:w="1176"/>
        <w:gridCol w:w="284"/>
        <w:gridCol w:w="170"/>
        <w:gridCol w:w="241"/>
        <w:gridCol w:w="1176"/>
        <w:gridCol w:w="155"/>
        <w:gridCol w:w="170"/>
        <w:gridCol w:w="241"/>
        <w:gridCol w:w="1176"/>
        <w:gridCol w:w="155"/>
        <w:gridCol w:w="169"/>
        <w:gridCol w:w="241"/>
        <w:gridCol w:w="1176"/>
        <w:gridCol w:w="282"/>
      </w:tblGrid>
      <w:tr>
        <w:trPr/>
        <w:tc>
          <w:tcPr>
            <w:tcW w:w="292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2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1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282" w:type="dxa"/>
            <w:tcBorders/>
            <w:vAlign w:val="bottom"/>
          </w:tcPr>
          <w:p>
            <w:pPr>
              <w:pStyle w:val="TableContents"/>
              <w:bidi w:val="0"/>
              <w:spacing w:before="0" w:after="283"/>
              <w:jc w:val="left"/>
              <w:rPr/>
            </w:pPr>
            <w:r>
              <w:rPr/>
              <w:t> </w:t>
            </w:r>
          </w:p>
        </w:tc>
      </w:tr>
      <w:tr>
        <w:trPr/>
        <w:tc>
          <w:tcPr>
            <w:tcW w:w="292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c>
          <w:tcPr>
            <w:tcW w:w="282"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Adjusted EBITDA</w:t>
            </w:r>
          </w:p>
        </w:tc>
        <w:tc>
          <w:tcPr>
            <w:tcW w:w="2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as reported</w:t>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17,050</w:t>
            </w:r>
          </w:p>
        </w:tc>
        <w:tc>
          <w:tcPr>
            <w:tcW w:w="2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13,779</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32,729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24,790</w:t>
            </w:r>
          </w:p>
        </w:tc>
        <w:tc>
          <w:tcPr>
            <w:tcW w:w="282"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2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(2,084</w:t>
            </w:r>
          </w:p>
        </w:tc>
        <w:tc>
          <w:tcPr>
            <w:tcW w:w="2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(1,681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(4,108</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(3,294</w:t>
            </w:r>
          </w:p>
        </w:tc>
        <w:tc>
          <w:tcPr>
            <w:tcW w:w="282" w:type="dxa"/>
            <w:tcBorders/>
            <w:shd w:fill="CCEEFF" w:val="clear"/>
            <w:vAlign w:val="bottom"/>
          </w:tcPr>
          <w:p>
            <w:pPr>
              <w:pStyle w:val="TableContents"/>
              <w:bidi w:val="0"/>
              <w:spacing w:before="0" w:after="283"/>
              <w:jc w:val="left"/>
              <w:rPr/>
            </w:pPr>
            <w:r>
              <w:rPr/>
              <w:t>) </w:t>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and depreciation expense</w:t>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2,662</w:t>
            </w:r>
          </w:p>
        </w:tc>
        <w:tc>
          <w:tcPr>
            <w:tcW w:w="2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2,648</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5,285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5,200</w:t>
            </w:r>
          </w:p>
        </w:tc>
        <w:tc>
          <w:tcPr>
            <w:tcW w:w="282" w:type="dxa"/>
            <w:tcBorders/>
            <w:vAlign w:val="bottom"/>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5,139</w:t>
            </w:r>
          </w:p>
        </w:tc>
        <w:tc>
          <w:tcPr>
            <w:tcW w:w="2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4,291</w:t>
            </w:r>
          </w:p>
        </w:tc>
        <w:tc>
          <w:tcPr>
            <w:tcW w:w="15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9,132</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7,521</w:t>
            </w:r>
          </w:p>
        </w:tc>
        <w:tc>
          <w:tcPr>
            <w:tcW w:w="282" w:type="dxa"/>
            <w:tcBorders/>
            <w:shd w:fill="CCEEFF" w:val="clear"/>
            <w:vAlign w:val="bottom"/>
          </w:tcPr>
          <w:p>
            <w:pPr>
              <w:pStyle w:val="TableContents"/>
              <w:bidi w:val="0"/>
              <w:spacing w:before="0" w:after="283"/>
              <w:jc w:val="left"/>
              <w:rPr/>
            </w:pPr>
            <w:r>
              <w:rPr/>
              <w:t> </w:t>
            </w:r>
          </w:p>
        </w:tc>
      </w:tr>
      <w:tr>
        <w:trPr/>
        <w:tc>
          <w:tcPr>
            <w:tcW w:w="292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22,767</w:t>
            </w:r>
          </w:p>
        </w:tc>
        <w:tc>
          <w:tcPr>
            <w:tcW w:w="2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19,037</w:t>
            </w:r>
          </w:p>
        </w:tc>
        <w:tc>
          <w:tcPr>
            <w:tcW w:w="1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43,038</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34,217</w:t>
            </w:r>
          </w:p>
        </w:tc>
        <w:tc>
          <w:tcPr>
            <w:tcW w:w="282" w:type="dxa"/>
            <w:tcBorders/>
            <w:vAlign w:val="bottom"/>
          </w:tcPr>
          <w:p>
            <w:pPr>
              <w:pStyle w:val="TableContents"/>
              <w:bidi w:val="0"/>
              <w:spacing w:before="0" w:after="283"/>
              <w:jc w:val="left"/>
              <w:rPr/>
            </w:pPr>
            <w:r>
              <w:rPr/>
              <w:t> </w:t>
            </w:r>
          </w:p>
        </w:tc>
      </w:tr>
      <w:tr>
        <w:trPr/>
        <w:tc>
          <w:tcPr>
            <w:tcW w:w="292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2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percentage increase</w:t>
            </w:r>
          </w:p>
        </w:tc>
        <w:tc>
          <w:tcPr>
            <w:tcW w:w="2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20</w:t>
            </w:r>
          </w:p>
        </w:tc>
        <w:tc>
          <w:tcPr>
            <w:tcW w:w="2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26</w:t>
            </w:r>
          </w:p>
        </w:tc>
        <w:tc>
          <w:tcPr>
            <w:tcW w:w="282" w:type="dxa"/>
            <w:tcBorders/>
            <w:shd w:fill="CCEEFF" w:val="clear"/>
            <w:vAlign w:val="bottom"/>
          </w:tcPr>
          <w:p>
            <w:pPr>
              <w:pStyle w:val="TableContents"/>
              <w:bidi w:val="0"/>
              <w:spacing w:before="0" w:after="283"/>
              <w:jc w:val="left"/>
              <w:rPr/>
            </w:pPr>
            <w:r>
              <w:rPr/>
              <w:t>% </w:t>
            </w:r>
          </w:p>
        </w:tc>
      </w:tr>
      <w:tr>
        <w:trPr/>
        <w:tc>
          <w:tcPr>
            <w:tcW w:w="2926"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3"/>
        <w:gridCol w:w="161"/>
        <w:gridCol w:w="140"/>
        <w:gridCol w:w="811"/>
        <w:gridCol w:w="155"/>
        <w:gridCol w:w="117"/>
        <w:gridCol w:w="140"/>
        <w:gridCol w:w="811"/>
        <w:gridCol w:w="60"/>
        <w:gridCol w:w="161"/>
        <w:gridCol w:w="60"/>
        <w:gridCol w:w="265"/>
        <w:gridCol w:w="281"/>
      </w:tblGrid>
      <w:tr>
        <w:trPr/>
        <w:tc>
          <w:tcPr>
            <w:tcW w:w="70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sales growth:</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ended June 30, 2026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70,382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Impact of currency exchange rate fluctuations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(352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70,030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ended June 30, 2025</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64,232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impact of divestitures excluding currency</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63,867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sales increase for the three months ended June 30, 2026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6,163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281" w:type="dxa"/>
            <w:tcBorders/>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sales growth (excluding catheters):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ended June 30, 2026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70,382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Catheter net sales as reported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(6,895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currency exchange rate fluctuations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(352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63,135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three months ended June 30, 2025</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64,232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Catheter net sales as reported</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(7,754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56,478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sales increase (excluding catheters) for the three months ended June 30, 2026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6,657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right"/>
              <w:rPr/>
            </w:pPr>
            <w:r>
              <w:rPr/>
              <w:t>12</w:t>
            </w:r>
          </w:p>
        </w:tc>
        <w:tc>
          <w:tcPr>
            <w:tcW w:w="281"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projected sales growth:</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three months ending September 30, 2026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sales per guidance (midpoint)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67,300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currency exchange rate fluctuations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489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projected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67,789</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three months ended September 30, 2025</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61,046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61,046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projected net sales increase for the three months ending September 30, 2026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6,743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281" w:type="dxa"/>
            <w:tcBorders/>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projected sales growth:</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ending December 31, 2026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per guidance (midpoint)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72,100</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Impact of currency exchange rate fluctuations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projected net sales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72,262</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ended December 31, 2025</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64,453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64,453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projected net sales increase for the three months ending December 31, 2026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7,809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right"/>
              <w:rPr/>
            </w:pPr>
            <w:r>
              <w:rPr/>
              <w:t>12</w:t>
            </w:r>
          </w:p>
        </w:tc>
        <w:tc>
          <w:tcPr>
            <w:tcW w:w="281"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projected sales growth:</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year ending December 31, 2026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sales per guidance (midpoint)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276,300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currency exchange rate fluctuations</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(1,749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projected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274,551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2025</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sales as reported</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249,602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impact of divestitures excluding currency</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(1,839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sales</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247,763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projected net sales increase for the year ending December 31, 2026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26,788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right"/>
              <w:rPr/>
            </w:pPr>
            <w:r>
              <w:rPr/>
              <w:t>11</w:t>
            </w:r>
          </w:p>
        </w:tc>
        <w:tc>
          <w:tcPr>
            <w:tcW w:w="281"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LEMAITRE VASCULAR, INC. (NASDAQ: LMAT)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left"/>
        <w:rPr>
          <w:rFonts w:ascii="Times New Roman" w:hAnsi="Times New Roman"/>
          <w:sz w:val="20"/>
        </w:rPr>
      </w:pPr>
      <w:r>
        <w:rPr>
          <w:rFonts w:ascii="Times New Roman" w:hAnsi="Times New Roman"/>
          <w:sz w:val="20"/>
        </w:rPr>
        <w:t xml:space="preserve">(amounts in thousands)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08"/>
        <w:gridCol w:w="163"/>
        <w:gridCol w:w="140"/>
        <w:gridCol w:w="725"/>
        <w:gridCol w:w="155"/>
        <w:gridCol w:w="119"/>
        <w:gridCol w:w="140"/>
        <w:gridCol w:w="725"/>
        <w:gridCol w:w="60"/>
        <w:gridCol w:w="163"/>
        <w:gridCol w:w="60"/>
        <w:gridCol w:w="266"/>
        <w:gridCol w:w="281"/>
      </w:tblGrid>
      <w:tr>
        <w:trPr/>
        <w:tc>
          <w:tcPr>
            <w:tcW w:w="720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projected operating income growth:</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ending September 30, 2026</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per guidance (midpoint)</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18,100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Projected operating income</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18,100</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three months ended September 30, 2025</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as reported</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20,312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employee retention credit</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(3,380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Adjusted operating income</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16,932</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projected operating income increase for the three months ending September 30, 2026</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1,168</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7</w:t>
            </w:r>
          </w:p>
        </w:tc>
        <w:tc>
          <w:tcPr>
            <w:tcW w:w="281" w:type="dxa"/>
            <w:tcBorders/>
            <w:shd w:fill="CCEEFF" w:val="clear"/>
            <w:vAlign w:val="bottom"/>
          </w:tcPr>
          <w:p>
            <w:pPr>
              <w:pStyle w:val="TableContents"/>
              <w:bidi w:val="0"/>
              <w:spacing w:before="0" w:after="283"/>
              <w:jc w:val="left"/>
              <w:rPr/>
            </w:pPr>
            <w:r>
              <w:rPr/>
              <w:t>% </w:t>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projected operating income growth:</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year ending December 31, 2026</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per guidance (midpoint)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76,800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Projected operating income</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76,800</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2025</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as reported</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67,912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Impact of employee retention credit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(3,380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operating income</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64,532</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projected operating income increase for the year ending December 31, 2026</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12,268</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281" w:type="dxa"/>
            <w:tcBorders/>
            <w:vAlign w:val="bottom"/>
          </w:tcPr>
          <w:p>
            <w:pPr>
              <w:pStyle w:val="TableContents"/>
              <w:bidi w:val="0"/>
              <w:spacing w:before="0" w:after="283"/>
              <w:jc w:val="left"/>
              <w:rPr/>
            </w:pPr>
            <w:r>
              <w:rPr/>
              <w:t>% </w:t>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earnings per share growth:</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For the three months ending September 30, 2026</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 per guidance (midpoint)</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0.69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Projected earnings per share</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0.69</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three months ended September 30, 2025</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 as reported</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0.75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employee retention credit</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(0.13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Adjusted earnings per share</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0.62</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projected earnings per share increase for the three months ending September 30, 2026</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0.07</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right"/>
              <w:rPr/>
            </w:pPr>
            <w:r>
              <w:rPr/>
              <w:t>11</w:t>
            </w:r>
          </w:p>
        </w:tc>
        <w:tc>
          <w:tcPr>
            <w:tcW w:w="281" w:type="dxa"/>
            <w:tcBorders/>
            <w:shd w:fill="CCEEFF" w:val="clear"/>
            <w:vAlign w:val="bottom"/>
          </w:tcPr>
          <w:p>
            <w:pPr>
              <w:pStyle w:val="TableContents"/>
              <w:bidi w:val="0"/>
              <w:spacing w:before="0" w:after="283"/>
              <w:jc w:val="left"/>
              <w:rPr/>
            </w:pPr>
            <w:r>
              <w:rPr/>
              <w:t>% </w:t>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between GAAP and Non-GAAP earnings per share growth:</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 the year ending December 31, 2026</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 per guidance (midpoint)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2.89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Projected earnings per share</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2.89</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2025</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 as reported</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2.52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Impact of employee retention credit</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earnings per share</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2.38</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7208"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projected earnings per share increase for the year ending December 31, 2026</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0.51</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21</w:t>
            </w:r>
          </w:p>
        </w:tc>
        <w:tc>
          <w:tcPr>
            <w:tcW w:w="281" w:type="dxa"/>
            <w:tcBorders/>
            <w:vAlign w:val="bottom"/>
          </w:tcPr>
          <w:p>
            <w:pPr>
              <w:pStyle w:val="TableContents"/>
              <w:bidi w:val="0"/>
              <w:spacing w:before="0" w:after="283"/>
              <w:jc w:val="left"/>
              <w:rPr/>
            </w:pPr>
            <w:r>
              <w:rPr/>
              <w:t>% </w:t>
            </w:r>
          </w:p>
        </w:tc>
      </w:tr>
      <w:tr>
        <w:trPr/>
        <w:tc>
          <w:tcPr>
            <w:tcW w:w="720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3747</Words>
  <Characters>20654</Characters>
  <CharactersWithSpaces>25941</CharactersWithSpaces>
  <Paragraphs>2703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