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7504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504430"/>
                    </a:xfrm>
                    <a:prstGeom prst="rect">
                      <a:avLst/>
                    </a:prstGeom>
                    <a:noFill/>
                  </pic:spPr>
                </pic:pic>
              </a:graphicData>
            </a:graphic>
          </wp:anchor>
        </w:drawing>
      </w:r>
    </w:p>
    <w:p>
      <w:pPr>
        <w:spacing w:after="0" w:line="1208" w:lineRule="exact"/>
        <w:rPr>
          <w:sz w:val="24"/>
          <w:szCs w:val="24"/>
          <w:color w:val="auto"/>
        </w:rPr>
      </w:pPr>
    </w:p>
    <w:p>
      <w:pPr>
        <w:sectPr>
          <w:pgSz w:w="11900" w:h="16861"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LeMaitre George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LEMAITRE VASCULAR,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 SECOND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LEMAITRE VASCULAR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03" w:lineRule="exact"/>
        <w:rPr>
          <w:sz w:val="24"/>
          <w:szCs w:val="24"/>
          <w:color w:val="auto"/>
        </w:rPr>
      </w:pPr>
    </w:p>
    <w:p>
      <w:pPr>
        <w:sectPr>
          <w:pgSz w:w="11900" w:h="16861" w:orient="portrait"/>
          <w:cols w:equalWidth="0" w:num="3">
            <w:col w:w="3200" w:space="720"/>
            <w:col w:w="3280" w:space="544"/>
            <w:col w:w="3336"/>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61"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00" w:type="dxa"/>
            <w:vAlign w:val="bottom"/>
            <w:gridSpan w:val="2"/>
          </w:tcPr>
          <w:p>
            <w:pPr>
              <w:ind w:left="100"/>
              <w:spacing w:after="0"/>
              <w:rPr>
                <w:sz w:val="20"/>
                <w:szCs w:val="20"/>
                <w:color w:val="auto"/>
              </w:rPr>
            </w:pPr>
            <w:r>
              <w:rPr>
                <w:rFonts w:ascii="Arial" w:cs="Arial" w:eastAsia="Arial" w:hAnsi="Arial"/>
                <w:sz w:val="11"/>
                <w:szCs w:val="11"/>
                <w:b w:val="1"/>
                <w:bCs w:val="1"/>
                <w:color w:val="auto"/>
                <w:w w:val="86"/>
              </w:rPr>
              <w:t>3.</w:t>
            </w:r>
          </w:p>
        </w:tc>
        <w:tc>
          <w:tcPr>
            <w:tcW w:w="600" w:type="dxa"/>
            <w:vAlign w:val="bottom"/>
          </w:tcPr>
          <w:p>
            <w:pPr>
              <w:spacing w:after="0"/>
              <w:rPr>
                <w:sz w:val="13"/>
                <w:szCs w:val="13"/>
                <w:color w:val="auto"/>
              </w:rPr>
            </w:pPr>
          </w:p>
        </w:tc>
        <w:tc>
          <w:tcPr>
            <w:tcW w:w="18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14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144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10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44"/>
              <w:spacing w:after="0"/>
              <w:rPr>
                <w:sz w:val="20"/>
                <w:szCs w:val="20"/>
                <w:color w:val="auto"/>
              </w:rPr>
            </w:pPr>
            <w:r>
              <w:rPr>
                <w:rFonts w:ascii="Times New Roman" w:cs="Times New Roman" w:eastAsia="Times New Roman" w:hAnsi="Times New Roman"/>
                <w:sz w:val="13"/>
                <w:szCs w:val="13"/>
                <w:color w:val="0000FF"/>
                <w:w w:val="84"/>
              </w:rPr>
              <w:t>G</w:t>
            </w:r>
          </w:p>
        </w:tc>
        <w:tc>
          <w:tcPr>
            <w:tcW w:w="840" w:type="dxa"/>
            <w:vAlign w:val="bottom"/>
          </w:tcPr>
          <w:p>
            <w:pPr>
              <w:jc w:val="right"/>
              <w:ind w:right="161"/>
              <w:spacing w:after="0"/>
              <w:rPr>
                <w:sz w:val="20"/>
                <w:szCs w:val="20"/>
                <w:color w:val="auto"/>
              </w:rPr>
            </w:pPr>
            <w:r>
              <w:rPr>
                <w:rFonts w:ascii="Times New Roman" w:cs="Times New Roman" w:eastAsia="Times New Roman" w:hAnsi="Times New Roman"/>
                <w:sz w:val="17"/>
                <w:szCs w:val="17"/>
                <w:color w:val="0000FF"/>
              </w:rPr>
              <w:t>11,974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060" w:type="dxa"/>
            <w:vAlign w:val="bottom"/>
            <w:gridSpan w:val="3"/>
          </w:tcPr>
          <w:p>
            <w:pPr>
              <w:jc w:val="right"/>
              <w:ind w:right="123"/>
              <w:spacing w:after="0"/>
              <w:rPr>
                <w:sz w:val="20"/>
                <w:szCs w:val="20"/>
                <w:color w:val="auto"/>
              </w:rPr>
            </w:pPr>
            <w:r>
              <w:rPr>
                <w:rFonts w:ascii="Times New Roman" w:cs="Times New Roman" w:eastAsia="Times New Roman" w:hAnsi="Times New Roman"/>
                <w:sz w:val="17"/>
                <w:szCs w:val="17"/>
                <w:color w:val="0000FF"/>
              </w:rPr>
              <w:t>1,418,045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LEMAITRE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4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ind w:right="444"/>
              <w:spacing w:after="0"/>
              <w:rPr>
                <w:sz w:val="20"/>
                <w:szCs w:val="20"/>
                <w:color w:val="auto"/>
              </w:rPr>
            </w:pPr>
            <w:r>
              <w:rPr>
                <w:rFonts w:ascii="Times New Roman" w:cs="Times New Roman" w:eastAsia="Times New Roman" w:hAnsi="Times New Roman"/>
                <w:sz w:val="13"/>
                <w:szCs w:val="13"/>
                <w:color w:val="0000FF"/>
                <w:w w:val="84"/>
              </w:rPr>
              <w:t>A</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7"/>
                <w:szCs w:val="17"/>
                <w:color w:val="0000FF"/>
              </w:rPr>
              <w:t>11,974</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7"/>
                <w:szCs w:val="17"/>
                <w:color w:val="auto"/>
              </w:rPr>
            </w:pPr>
          </w:p>
        </w:tc>
        <w:tc>
          <w:tcPr>
            <w:tcW w:w="380" w:type="dxa"/>
            <w:vAlign w:val="bottom"/>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300" w:type="dxa"/>
            <w:vAlign w:val="bottom"/>
          </w:tcPr>
          <w:p>
            <w:pPr>
              <w:spacing w:after="0"/>
              <w:rPr>
                <w:sz w:val="17"/>
                <w:szCs w:val="17"/>
                <w:color w:val="auto"/>
              </w:rPr>
            </w:pPr>
          </w:p>
        </w:tc>
        <w:tc>
          <w:tcPr>
            <w:tcW w:w="7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7"/>
                <w:szCs w:val="17"/>
                <w:color w:val="0000FF"/>
                <w:w w:val="98"/>
              </w:rPr>
              <w:t>45,374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LIFE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INSURANCE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2025</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right"/>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13"/>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Underlying</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5"/>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jc w:val="right"/>
              <w:ind w:right="143"/>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ind w:left="120"/>
              <w:spacing w:after="0"/>
              <w:rPr>
                <w:sz w:val="20"/>
                <w:szCs w:val="20"/>
                <w:color w:val="auto"/>
              </w:rPr>
            </w:pPr>
            <w:r>
              <w:rPr>
                <w:rFonts w:ascii="Arial" w:cs="Arial" w:eastAsia="Arial" w:hAnsi="Arial"/>
                <w:sz w:val="11"/>
                <w:szCs w:val="11"/>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Expiration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0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  Date</w:t>
            </w:r>
          </w:p>
        </w:tc>
        <w:tc>
          <w:tcPr>
            <w:tcW w:w="420" w:type="dxa"/>
            <w:vAlign w:val="bottom"/>
            <w:gridSpan w:val="2"/>
          </w:tcPr>
          <w:p>
            <w:pPr>
              <w:ind w:left="12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8"/>
              </w:rPr>
              <w:t>4.0092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5"/>
                <w:szCs w:val="5"/>
                <w:color w:val="auto"/>
              </w:rPr>
            </w:pPr>
          </w:p>
        </w:tc>
        <w:tc>
          <w:tcPr>
            <w:tcW w:w="4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600" w:type="dxa"/>
            <w:vAlign w:val="bottom"/>
            <w:vMerge w:val="restart"/>
          </w:tcPr>
          <w:p>
            <w:pPr>
              <w:jc w:val="center"/>
              <w:ind w:right="20"/>
              <w:spacing w:after="0" w:line="140" w:lineRule="exact"/>
              <w:rPr>
                <w:sz w:val="20"/>
                <w:szCs w:val="20"/>
                <w:color w:val="auto"/>
              </w:rPr>
            </w:pPr>
            <w:r>
              <w:rPr>
                <w:rFonts w:ascii="Times New Roman" w:cs="Times New Roman" w:eastAsia="Times New Roman" w:hAnsi="Times New Roman"/>
                <w:sz w:val="13"/>
                <w:szCs w:val="13"/>
                <w:color w:val="0000FF"/>
              </w:rPr>
              <w:t>4.0092</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49.3324</w:t>
            </w:r>
          </w:p>
        </w:tc>
        <w:tc>
          <w:tcPr>
            <w:tcW w:w="700" w:type="dxa"/>
            <w:vAlign w:val="bottom"/>
            <w:vMerge w:val="restart"/>
          </w:tcPr>
          <w:p>
            <w:pPr>
              <w:ind w:left="30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8"/>
              </w:rPr>
              <w:t>4.0092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5"/>
                <w:szCs w:val="5"/>
                <w:color w:val="auto"/>
              </w:rPr>
            </w:pPr>
          </w:p>
        </w:tc>
        <w:tc>
          <w:tcPr>
            <w:tcW w:w="4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600" w:type="dxa"/>
            <w:vAlign w:val="bottom"/>
            <w:vMerge w:val="restart"/>
          </w:tcPr>
          <w:p>
            <w:pPr>
              <w:jc w:val="center"/>
              <w:ind w:right="20"/>
              <w:spacing w:after="0" w:line="140" w:lineRule="exact"/>
              <w:rPr>
                <w:sz w:val="20"/>
                <w:szCs w:val="20"/>
                <w:color w:val="auto"/>
              </w:rPr>
            </w:pPr>
            <w:r>
              <w:rPr>
                <w:rFonts w:ascii="Times New Roman" w:cs="Times New Roman" w:eastAsia="Times New Roman" w:hAnsi="Times New Roman"/>
                <w:sz w:val="13"/>
                <w:szCs w:val="13"/>
                <w:color w:val="0000FF"/>
              </w:rPr>
              <w:t>4.0092</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48.6237</w:t>
            </w:r>
          </w:p>
        </w:tc>
        <w:tc>
          <w:tcPr>
            <w:tcW w:w="700" w:type="dxa"/>
            <w:vAlign w:val="bottom"/>
            <w:vMerge w:val="restart"/>
          </w:tcPr>
          <w:p>
            <w:pPr>
              <w:ind w:left="30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(4)</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9"/>
              </w:rPr>
              <w:t>6.854</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5"/>
                <w:szCs w:val="5"/>
                <w:color w:val="auto"/>
              </w:rPr>
            </w:pPr>
          </w:p>
        </w:tc>
        <w:tc>
          <w:tcPr>
            <w:tcW w:w="4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600" w:type="dxa"/>
            <w:vAlign w:val="bottom"/>
            <w:vMerge w:val="restart"/>
          </w:tcPr>
          <w:p>
            <w:pPr>
              <w:jc w:val="center"/>
              <w:ind w:right="20"/>
              <w:spacing w:after="0" w:line="140" w:lineRule="exact"/>
              <w:rPr>
                <w:sz w:val="20"/>
                <w:szCs w:val="20"/>
                <w:color w:val="auto"/>
              </w:rPr>
            </w:pPr>
            <w:r>
              <w:rPr>
                <w:rFonts w:ascii="Times New Roman" w:cs="Times New Roman" w:eastAsia="Times New Roman" w:hAnsi="Times New Roman"/>
                <w:sz w:val="13"/>
                <w:szCs w:val="13"/>
                <w:color w:val="0000FF"/>
                <w:w w:val="95"/>
              </w:rPr>
              <w:t>6.854</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57.346</w:t>
            </w:r>
          </w:p>
        </w:tc>
        <w:tc>
          <w:tcPr>
            <w:tcW w:w="700" w:type="dxa"/>
            <w:vAlign w:val="bottom"/>
            <w:vMerge w:val="restart"/>
          </w:tcPr>
          <w:p>
            <w:pPr>
              <w:ind w:left="30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(5)</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8"/>
              </w:rPr>
              <w:t>8.2136</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5"/>
                <w:szCs w:val="5"/>
                <w:color w:val="auto"/>
              </w:rPr>
            </w:pPr>
          </w:p>
        </w:tc>
        <w:tc>
          <w:tcPr>
            <w:tcW w:w="4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600" w:type="dxa"/>
            <w:vAlign w:val="bottom"/>
            <w:vMerge w:val="restart"/>
          </w:tcPr>
          <w:p>
            <w:pPr>
              <w:jc w:val="center"/>
              <w:ind w:right="20"/>
              <w:spacing w:after="0" w:line="140" w:lineRule="exact"/>
              <w:rPr>
                <w:sz w:val="20"/>
                <w:szCs w:val="20"/>
                <w:color w:val="auto"/>
              </w:rPr>
            </w:pPr>
            <w:r>
              <w:rPr>
                <w:rFonts w:ascii="Times New Roman" w:cs="Times New Roman" w:eastAsia="Times New Roman" w:hAnsi="Times New Roman"/>
                <w:sz w:val="13"/>
                <w:szCs w:val="13"/>
                <w:color w:val="0000FF"/>
              </w:rPr>
              <w:t>8.2136</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60.8553</w:t>
            </w:r>
          </w:p>
        </w:tc>
        <w:tc>
          <w:tcPr>
            <w:tcW w:w="700" w:type="dxa"/>
            <w:vAlign w:val="bottom"/>
            <w:vMerge w:val="restart"/>
          </w:tcPr>
          <w:p>
            <w:pPr>
              <w:ind w:left="30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(6)</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7"/>
              </w:rPr>
              <w:t>10.0254</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11"/>
                <w:szCs w:val="11"/>
                <w:color w:val="auto"/>
              </w:rPr>
            </w:pPr>
          </w:p>
        </w:tc>
        <w:tc>
          <w:tcPr>
            <w:tcW w:w="4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1"/>
                <w:szCs w:val="11"/>
                <w:color w:val="auto"/>
              </w:rPr>
            </w:pPr>
          </w:p>
        </w:tc>
        <w:tc>
          <w:tcPr>
            <w:tcW w:w="600" w:type="dxa"/>
            <w:vAlign w:val="bottom"/>
          </w:tcPr>
          <w:p>
            <w:pPr>
              <w:jc w:val="center"/>
              <w:ind w:right="20"/>
              <w:spacing w:after="0" w:line="128" w:lineRule="exact"/>
              <w:rPr>
                <w:sz w:val="20"/>
                <w:szCs w:val="20"/>
                <w:color w:val="auto"/>
              </w:rPr>
            </w:pPr>
            <w:r>
              <w:rPr>
                <w:rFonts w:ascii="Times New Roman" w:cs="Times New Roman" w:eastAsia="Times New Roman" w:hAnsi="Times New Roman"/>
                <w:sz w:val="13"/>
                <w:szCs w:val="13"/>
                <w:color w:val="0000FF"/>
                <w:w w:val="94"/>
              </w:rPr>
              <w:t>10.0254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53.3794</w:t>
            </w:r>
          </w:p>
        </w:tc>
        <w:tc>
          <w:tcPr>
            <w:tcW w:w="70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(7)</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7"/>
              </w:rPr>
              <w:t>11.3593</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11"/>
                <w:szCs w:val="11"/>
                <w:color w:val="auto"/>
              </w:rPr>
            </w:pPr>
          </w:p>
        </w:tc>
        <w:tc>
          <w:tcPr>
            <w:tcW w:w="4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1"/>
                <w:szCs w:val="11"/>
                <w:color w:val="auto"/>
              </w:rPr>
            </w:pPr>
          </w:p>
        </w:tc>
        <w:tc>
          <w:tcPr>
            <w:tcW w:w="600" w:type="dxa"/>
            <w:vAlign w:val="bottom"/>
          </w:tcPr>
          <w:p>
            <w:pPr>
              <w:jc w:val="center"/>
              <w:ind w:right="20"/>
              <w:spacing w:after="0" w:line="128" w:lineRule="exact"/>
              <w:rPr>
                <w:sz w:val="20"/>
                <w:szCs w:val="20"/>
                <w:color w:val="auto"/>
              </w:rPr>
            </w:pPr>
            <w:r>
              <w:rPr>
                <w:rFonts w:ascii="Times New Roman" w:cs="Times New Roman" w:eastAsia="Times New Roman" w:hAnsi="Times New Roman"/>
                <w:sz w:val="13"/>
                <w:szCs w:val="13"/>
                <w:color w:val="0000FF"/>
                <w:w w:val="94"/>
              </w:rPr>
              <w:t>11.3593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53.8418</w:t>
            </w:r>
          </w:p>
        </w:tc>
        <w:tc>
          <w:tcPr>
            <w:tcW w:w="70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(8)</w:t>
            </w: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(8)</w:t>
            </w: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w w:val="97"/>
              </w:rPr>
              <w:t>16.8053</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11"/>
                <w:szCs w:val="11"/>
                <w:color w:val="auto"/>
              </w:rPr>
            </w:pPr>
          </w:p>
        </w:tc>
        <w:tc>
          <w:tcPr>
            <w:tcW w:w="4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1"/>
                <w:szCs w:val="11"/>
                <w:color w:val="auto"/>
              </w:rPr>
            </w:pPr>
          </w:p>
        </w:tc>
        <w:tc>
          <w:tcPr>
            <w:tcW w:w="600" w:type="dxa"/>
            <w:vAlign w:val="bottom"/>
          </w:tcPr>
          <w:p>
            <w:pPr>
              <w:jc w:val="center"/>
              <w:ind w:right="20"/>
              <w:spacing w:after="0" w:line="128" w:lineRule="exact"/>
              <w:rPr>
                <w:sz w:val="20"/>
                <w:szCs w:val="20"/>
                <w:color w:val="auto"/>
              </w:rPr>
            </w:pPr>
            <w:r>
              <w:rPr>
                <w:rFonts w:ascii="Times New Roman" w:cs="Times New Roman" w:eastAsia="Times New Roman" w:hAnsi="Times New Roman"/>
                <w:sz w:val="13"/>
                <w:szCs w:val="13"/>
                <w:color w:val="0000FF"/>
                <w:w w:val="94"/>
              </w:rPr>
              <w:t>16.8053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31.0239</w:t>
            </w:r>
          </w:p>
        </w:tc>
        <w:tc>
          <w:tcPr>
            <w:tcW w:w="70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-3828415</wp:posOffset>
            </wp:positionV>
            <wp:extent cx="28575" cy="383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8334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an irrevocable trust for the benefit of Reporting Person's child(ren). The Reporting Person disclaims ownership of such securities except to the extent of his pecuniary interest therein, if any, and the reporting herein of such securities shall not be construed as an admission of beneficial ownership thereof for the purposes of Section 16 or for any other purpose.</w:t>
      </w:r>
    </w:p>
    <w:p>
      <w:pPr>
        <w:spacing w:after="0" w:line="19"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restricted stock unit award granted on 12/12/2022 and vest proportionately with such award. Each dividend equivalent right is the economic equivalent of one share of the Issuer's common stock.</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performance share unit award granted on 12/12/2022 and vest proportionately with such award. Each dividend equivalent right is the economic equivalent of one share of the Issuer's common stock.</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restricted stock unit award granted on 12/8/2023 and vest proportionately with such award. Each dividend equivalent right is the economic equivalent of one share of the Issuer's common stock.</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performance share unit award granted on 12/8/2023 and vest proportionately with such award. Each dividend equivalent right is the economic equivalent of one share of the Issuer's common stock.</w:t>
      </w:r>
    </w:p>
    <w:p>
      <w:pPr>
        <w:sectPr>
          <w:pgSz w:w="11900" w:h="16861" w:orient="portrait"/>
          <w:cols w:equalWidth="0" w:num="1">
            <w:col w:w="11080"/>
          </w:cols>
          <w:pgMar w:left="460" w:top="216" w:right="359" w:bottom="0" w:gutter="0" w:footer="0" w:header="0"/>
          <w:type w:val="continuous"/>
        </w:sectPr>
      </w:pPr>
    </w:p>
    <w:bookmarkStart w:id="1" w:name="page2"/>
    <w:bookmarkEnd w:id="1"/>
    <w:p>
      <w:pPr>
        <w:ind w:right="6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restricted stock unit award granted on 12/6/2024 and vest proportionately with such award. Each dividend equivalent right is the economic equivalent of one share of the Issuer's common stock.</w:t>
      </w:r>
    </w:p>
    <w:p>
      <w:pPr>
        <w:spacing w:after="0" w:line="19" w:lineRule="exact"/>
        <w:rPr>
          <w:rFonts w:ascii="Times New Roman" w:cs="Times New Roman" w:eastAsia="Times New Roman" w:hAnsi="Times New Roman"/>
          <w:sz w:val="13"/>
          <w:szCs w:val="13"/>
          <w:color w:val="008000"/>
        </w:rPr>
      </w:pPr>
    </w:p>
    <w:p>
      <w:pPr>
        <w:ind w:right="18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performance share unit award granted on 12/6/2024 and vest proportionately with such award. Each dividend equivalent right is the economic equivalent of one share of the Issuer's common stock.</w:t>
      </w:r>
    </w:p>
    <w:p>
      <w:pPr>
        <w:spacing w:after="0" w:line="19"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dividend equivalent rights accrued on a restricted stock unit award granted on 12/10/2025 and vest proportionately with such award. Each dividend equivalent right is the economic equivalent of one share of the Issuer's common stock.</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Laurie A. Churchill,</w:t>
            </w:r>
          </w:p>
        </w:tc>
        <w:tc>
          <w:tcPr>
            <w:tcW w:w="6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5737" TargetMode="External"/><Relationship Id="rId14" Type="http://schemas.openxmlformats.org/officeDocument/2006/relationships/hyperlink" Target="http://www.sec.gov/cgi-bin/browse-edgar?action=getcompany&amp;CIK=0001158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2026-06-05T16:41:07Z</dcterms:created>
  <dcterms:modified xsi:type="dcterms:W3CDTF">2026-06-05T16:41:07Z</dcterms:modified>
</cp:coreProperties>
</file>