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SHADAN MARTHA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LEMAITRE VASCULAR,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SECOND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LEMAITRE VASCULAR INC</w:t>
              </w:r>
            </w:hyperlink>
            <w:r>
              <w:rPr/>
              <w:t xml:space="preserve"> [ </w:t>
            </w:r>
            <w:r>
              <w:rPr>
                <w:rFonts w:ascii="Times;serif" w:hAnsi="Times;serif"/>
                <w:color w:val="0000FF"/>
                <w:sz w:val="24"/>
                <w:shd w:fill="FFFFFF" w:val="clear"/>
              </w:rPr>
              <w:t>LMAT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0.5429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0.5429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5.6103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0.6503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0.6503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5.5195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0.8852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5.1836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1.6637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dividend equivalent rights accrued on a restricted stock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dividend equivalent rights accrued on a performance share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dividend equivalent rights accrued on a restricted stock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dividend equivalent rights accrued on a performance share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dividend equivalent rights accrued on a restricted stock unit award granted on 12/10/2025 and vest proportionately with such award. Each dividend equivalent right is the economic equivalent of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G. Bush,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ck0001158895-ex24_1.htm"/>
      <w:bookmarkStart w:id="3" w:name="ksck0001158895ex24_1"/>
      <w:bookmarkEnd w:id="2"/>
      <w:bookmarkEnd w:id="3"/>
      <w:r>
        <w:rPr>
          <w:rFonts w:ascii="Times New Roman" w:hAnsi="Times New Roman"/>
          <w:b/>
          <w:color w:val="000000"/>
          <w:sz w:val="20"/>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Laurie Churchill, Douglas Bush, John Pitfield, Bernard Stanford, and Secil Kantarci O’Neil, signing singly, and with full power of substitution, the undersigned's true and lawful attorney-in-fact to:</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officer and/or director of LeMaitre Vascular,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 </w:t>
      </w:r>
      <w:r>
        <w:rPr>
          <w:rFonts w:ascii="Times New Roman" w:hAnsi="Times New Roman"/>
          <w:color w:val="000000"/>
          <w:sz w:val="20"/>
        </w:rPr>
        <w:t>Martha Shadan</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Martha Shadan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7/28/2026 </w:t>
      </w:r>
    </w:p>
    <w:p>
      <w:pPr>
        <w:pStyle w:val="TextBody"/>
        <w:bidi w:val="0"/>
        <w:jc w:val="left"/>
        <w:rPr>
          <w:rFonts w:ascii="Times New Roman" w:hAnsi="Times New Roman"/>
          <w:color w:val="000000"/>
          <w:sz w:val="20"/>
        </w:rPr>
      </w:pPr>
      <w:r>
        <w:rPr>
          <w:rFonts w:ascii="Times New Roman" w:hAnsi="Times New Roman"/>
          <w:color w:val="000000"/>
          <w:sz w:val="20"/>
        </w:rPr>
        <w:t>Date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1700" TargetMode="External"/><Relationship Id="rId5" Type="http://schemas.openxmlformats.org/officeDocument/2006/relationships/hyperlink" Target="http://www.sec.gov/cgi-bin/browse-edgar?action=getcompany&amp;CIK=0001158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1468</Words>
  <Characters>7980</Characters>
  <CharactersWithSpaces>9321</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