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Jasinski Lawrence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LEMAITRE VASCULAR,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 SECOND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LEMAITRE VASCULAR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47.19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54.65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7,792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101.12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47.19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54.65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12/08/2023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101.12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upon exercise of options by the Reporting Person, as reported in Table II.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is exercisable and vests over a three-year period at a rate of 33.3% on the first anniversary of the date listed in the table, with the balance vesting in equal annual installments over the remaining two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Laurie A. Churchill,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6346" TargetMode="External"/><Relationship Id="rId5" Type="http://schemas.openxmlformats.org/officeDocument/2006/relationships/hyperlink" Target="http://www.sec.gov/cgi-bin/browse-edgar?action=getcompany&amp;CIK=0001158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3766</Characters>
  <CharactersWithSpaces>4363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