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20" w:right="1680" w:hanging="3808"/>
        <w:spacing w:after="0" w:line="323"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380" w:hanging="368"/>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336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3634740</wp:posOffset>
            </wp:positionH>
            <wp:positionV relativeFrom="paragraph">
              <wp:posOffset>-5080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LEMAITRE VASCULAR,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7" w:lineRule="exact"/>
        <w:rPr>
          <w:sz w:val="24"/>
          <w:szCs w:val="24"/>
          <w:color w:val="auto"/>
        </w:rPr>
      </w:pPr>
    </w:p>
    <w:tbl>
      <w:tblPr>
        <w:tblLayout w:type="fixed"/>
        <w:tblInd w:w="1060" w:type="dxa"/>
        <w:tblCellMar>
          <w:top w:w="0" w:type="dxa"/>
          <w:left w:w="0" w:type="dxa"/>
          <w:bottom w:w="0" w:type="dxa"/>
          <w:right w:w="0" w:type="dxa"/>
        </w:tblCellMar>
      </w:tblPr>
      <w:tr>
        <w:trPr>
          <w:trHeight w:val="216"/>
        </w:trPr>
        <w:tc>
          <w:tcPr>
            <w:tcW w:w="6640" w:type="dxa"/>
            <w:vAlign w:val="bottom"/>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04-2825458</w:t>
            </w:r>
          </w:p>
        </w:tc>
      </w:tr>
      <w:tr>
        <w:trPr>
          <w:trHeight w:val="216"/>
        </w:trPr>
        <w:tc>
          <w:tcPr>
            <w:tcW w:w="6640" w:type="dxa"/>
            <w:vAlign w:val="bottom"/>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640" w:type="dxa"/>
            <w:vAlign w:val="bottom"/>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275"/>
        </w:trPr>
        <w:tc>
          <w:tcPr>
            <w:tcW w:w="6640" w:type="dxa"/>
            <w:vAlign w:val="bottom"/>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w w:val="99"/>
              </w:rPr>
              <w:t>63 Second Avenue, Burlington, Massachusetts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8"/>
        </w:trPr>
        <w:tc>
          <w:tcPr>
            <w:tcW w:w="6640" w:type="dxa"/>
            <w:vAlign w:val="bottom"/>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75"/>
        </w:trPr>
        <w:tc>
          <w:tcPr>
            <w:tcW w:w="664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(781) 221-2266</w:t>
            </w:r>
          </w:p>
        </w:tc>
        <w:tc>
          <w:tcPr>
            <w:tcW w:w="1440" w:type="dxa"/>
            <w:vAlign w:val="bottom"/>
          </w:tcPr>
          <w:p>
            <w:pPr>
              <w:spacing w:after="0"/>
              <w:rPr>
                <w:sz w:val="23"/>
                <w:szCs w:val="23"/>
                <w:color w:val="auto"/>
              </w:rPr>
            </w:pPr>
          </w:p>
        </w:tc>
      </w:tr>
      <w:tr>
        <w:trPr>
          <w:trHeight w:val="238"/>
        </w:trPr>
        <w:tc>
          <w:tcPr>
            <w:tcW w:w="664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2"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9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c>
          <w:tcPr>
            <w:tcW w:w="0" w:type="dxa"/>
            <w:vAlign w:val="bottom"/>
          </w:tcPr>
          <w:p>
            <w:pPr>
              <w:spacing w:after="0"/>
              <w:rPr>
                <w:sz w:val="1"/>
                <w:szCs w:val="1"/>
                <w:color w:val="auto"/>
              </w:rPr>
            </w:pPr>
          </w:p>
        </w:tc>
      </w:tr>
      <w:tr>
        <w:trPr>
          <w:trHeight w:val="126"/>
        </w:trPr>
        <w:tc>
          <w:tcPr>
            <w:tcW w:w="3960" w:type="dxa"/>
            <w:vAlign w:val="bottom"/>
            <w:tcBorders>
              <w:left w:val="single" w:sz="8" w:color="auto"/>
              <w:right w:val="single" w:sz="8" w:color="auto"/>
            </w:tcBorders>
            <w:vMerge w:val="continue"/>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3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0" w:type="dxa"/>
            <w:vAlign w:val="bottom"/>
          </w:tcPr>
          <w:p>
            <w:pPr>
              <w:spacing w:after="0"/>
              <w:rPr>
                <w:sz w:val="1"/>
                <w:szCs w:val="1"/>
                <w:color w:val="auto"/>
              </w:rPr>
            </w:pPr>
          </w:p>
        </w:tc>
      </w:tr>
      <w:tr>
        <w:trPr>
          <w:trHeight w:val="125"/>
        </w:trPr>
        <w:tc>
          <w:tcPr>
            <w:tcW w:w="3960" w:type="dxa"/>
            <w:vAlign w:val="bottom"/>
            <w:tcBorders>
              <w:left w:val="single" w:sz="8" w:color="auto"/>
              <w:bottom w:val="single" w:sz="8" w:color="auto"/>
              <w:right w:val="single" w:sz="8" w:color="auto"/>
            </w:tcBorders>
          </w:tcPr>
          <w:p>
            <w:pPr>
              <w:spacing w:after="0"/>
              <w:rPr>
                <w:sz w:val="10"/>
                <w:szCs w:val="10"/>
                <w:color w:val="auto"/>
              </w:rPr>
            </w:pPr>
          </w:p>
        </w:tc>
        <w:tc>
          <w:tcPr>
            <w:tcW w:w="3360" w:type="dxa"/>
            <w:vAlign w:val="bottom"/>
            <w:tcBorders>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LMAT</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4"/>
        </w:trPr>
        <w:tc>
          <w:tcPr>
            <w:tcW w:w="32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Large accelerated filer</w:t>
            </w:r>
          </w:p>
        </w:tc>
        <w:tc>
          <w:tcPr>
            <w:tcW w:w="23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560"/>
              <w:spacing w:after="0" w:line="204" w:lineRule="exact"/>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jc w:val="both"/>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6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4, 2026, the registrant had 22,850,739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LEMAITRE VASCULAR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391"/>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Part I.</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80" w:type="dxa"/>
            <w:vAlign w:val="bottom"/>
            <w:gridSpan w:val="3"/>
          </w:tcPr>
          <w:p>
            <w:pPr>
              <w:spacing w:after="0"/>
              <w:rPr>
                <w:sz w:val="24"/>
                <w:szCs w:val="24"/>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2026 (unaudited) and December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for the three-month periods ended March 31, 2026 and 2025</w:t>
            </w:r>
          </w:p>
        </w:tc>
        <w:tc>
          <w:tcPr>
            <w:tcW w:w="20" w:type="dxa"/>
            <w:vAlign w:val="bottom"/>
            <w:tcBorders>
              <w:bottom w:val="single" w:sz="8" w:color="0000EE"/>
            </w:tcBorders>
          </w:tcPr>
          <w:p>
            <w:pPr>
              <w:spacing w:after="0"/>
              <w:rPr>
                <w:sz w:val="24"/>
                <w:szCs w:val="24"/>
                <w:color w:val="auto"/>
              </w:rPr>
            </w:pPr>
          </w:p>
        </w:tc>
        <w:tc>
          <w:tcPr>
            <w:tcW w:w="90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 for the three-month periods ended March 31, 2026 and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Stockholders’ Equity for the three-month periods ended March 31, 2026 and 2025</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 for the three-month periods ended March 31, 2026 and 2025</w:t>
            </w:r>
          </w:p>
        </w:tc>
        <w:tc>
          <w:tcPr>
            <w:tcW w:w="86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80" w:type="dxa"/>
            <w:vAlign w:val="bottom"/>
            <w:gridSpan w:val="3"/>
          </w:tcPr>
          <w:p>
            <w:pPr>
              <w:spacing w:after="0"/>
              <w:rPr>
                <w:sz w:val="24"/>
                <w:szCs w:val="24"/>
                <w:color w:val="auto"/>
              </w:rPr>
            </w:pPr>
          </w:p>
        </w:tc>
        <w:tc>
          <w:tcPr>
            <w:tcW w:w="42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 about Market Risk</w:t>
            </w:r>
          </w:p>
        </w:tc>
        <w:tc>
          <w:tcPr>
            <w:tcW w:w="2220" w:type="dxa"/>
            <w:vAlign w:val="bottom"/>
            <w:tcBorders>
              <w:top w:val="single" w:sz="8" w:color="0000FF"/>
            </w:tcBorders>
            <w:gridSpan w:val="3"/>
          </w:tcPr>
          <w:p>
            <w:pPr>
              <w:spacing w:after="0"/>
              <w:rPr>
                <w:sz w:val="24"/>
                <w:szCs w:val="24"/>
                <w:color w:val="auto"/>
              </w:rPr>
            </w:pPr>
          </w:p>
        </w:tc>
        <w:tc>
          <w:tcPr>
            <w:tcW w:w="24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80" w:type="dxa"/>
            <w:vAlign w:val="bottom"/>
            <w:gridSpan w:val="3"/>
          </w:tcPr>
          <w:p>
            <w:pPr>
              <w:spacing w:after="0"/>
              <w:rPr>
                <w:sz w:val="24"/>
                <w:szCs w:val="24"/>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Part II.</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80" w:type="dxa"/>
            <w:vAlign w:val="bottom"/>
            <w:gridSpan w:val="3"/>
          </w:tcPr>
          <w:p>
            <w:pPr>
              <w:spacing w:after="0"/>
              <w:rPr>
                <w:sz w:val="24"/>
                <w:szCs w:val="24"/>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8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80" w:type="dxa"/>
            <w:vAlign w:val="bottom"/>
            <w:gridSpan w:val="3"/>
          </w:tcPr>
          <w:p>
            <w:pPr>
              <w:spacing w:after="0"/>
              <w:rPr>
                <w:sz w:val="24"/>
                <w:szCs w:val="24"/>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6"/>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80" w:type="dxa"/>
            <w:vAlign w:val="bottom"/>
            <w:gridSpan w:val="3"/>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32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9"/>
              </w:rPr>
              <w:t>except share data)</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26,851</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330,876</w:t>
            </w: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$1,361 at March 31, 2026 and $1,400 at</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33,610</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 and other deferred costs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70,422</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4"/>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468,232</w:t>
            </w:r>
          </w:p>
        </w:tc>
        <w:tc>
          <w:tcPr>
            <w:tcW w:w="100" w:type="dxa"/>
            <w:vAlign w:val="bottom"/>
          </w:tcPr>
          <w:p>
            <w:pPr>
              <w:spacing w:after="0"/>
              <w:rPr>
                <w:sz w:val="17"/>
                <w:szCs w:val="17"/>
                <w:color w:val="auto"/>
              </w:rPr>
            </w:pPr>
          </w:p>
        </w:tc>
      </w:tr>
      <w:tr>
        <w:trPr>
          <w:trHeight w:val="195"/>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26,997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Right-of-use leased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65,945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intangibles, net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629,526</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615,690</w:t>
            </w:r>
          </w:p>
        </w:tc>
        <w:tc>
          <w:tcPr>
            <w:tcW w:w="100" w:type="dxa"/>
            <w:vAlign w:val="bottom"/>
            <w:shd w:val="clear" w:color="auto" w:fill="CFF0FC"/>
          </w:tcPr>
          <w:p>
            <w:pPr>
              <w:spacing w:after="0"/>
              <w:rPr>
                <w:sz w:val="20"/>
                <w:szCs w:val="20"/>
                <w:color w:val="auto"/>
              </w:rPr>
            </w:pPr>
          </w:p>
        </w:tc>
      </w:tr>
      <w:tr>
        <w:trPr>
          <w:trHeight w:val="382"/>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29,411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Acquisition-related obligations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Lease liabilities - short-term</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4"/>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36,323</w:t>
            </w:r>
          </w:p>
        </w:tc>
        <w:tc>
          <w:tcPr>
            <w:tcW w:w="100" w:type="dxa"/>
            <w:vAlign w:val="bottom"/>
          </w:tcPr>
          <w:p>
            <w:pPr>
              <w:spacing w:after="0"/>
              <w:rPr>
                <w:sz w:val="17"/>
                <w:szCs w:val="17"/>
                <w:color w:val="auto"/>
              </w:rPr>
            </w:pPr>
          </w:p>
        </w:tc>
      </w:tr>
      <w:tr>
        <w:trPr>
          <w:trHeight w:val="195"/>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168,867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168,645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 long-term</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222,904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222,174</w:t>
            </w:r>
          </w:p>
        </w:tc>
        <w:tc>
          <w:tcPr>
            <w:tcW w:w="100" w:type="dxa"/>
            <w:vAlign w:val="bottom"/>
            <w:shd w:val="clear" w:color="auto" w:fill="CFF0FC"/>
          </w:tcPr>
          <w:p>
            <w:pPr>
              <w:spacing w:after="0"/>
              <w:rPr>
                <w:sz w:val="17"/>
                <w:szCs w:val="17"/>
                <w:color w:val="auto"/>
              </w:rPr>
            </w:pPr>
          </w:p>
        </w:tc>
      </w:tr>
      <w:tr>
        <w:trPr>
          <w:trHeight w:val="4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3,000,000 shares authorized; none issued and outstanding</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$0.01 par value; 37,000,000 shares authorized, 24,476,827 and 24,396,904 shares issued,</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22,847,733 and 22,772,607 shares outstanding, 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r>
      <w:tr>
        <w:trPr>
          <w:trHeight w:val="205"/>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233,450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228,407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184,715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(2,411)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1,629,094 and 1,624,297 shares, respectively</w:t>
            </w:r>
          </w:p>
        </w:tc>
        <w:tc>
          <w:tcPr>
            <w:tcW w:w="220" w:type="dxa"/>
            <w:vAlign w:val="bottom"/>
          </w:tcPr>
          <w:p>
            <w:pPr>
              <w:spacing w:after="0"/>
              <w:rPr>
                <w:sz w:val="17"/>
                <w:szCs w:val="17"/>
                <w:color w:val="auto"/>
              </w:rPr>
            </w:pP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(17,899)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(17,439)</w:t>
            </w: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406,622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393,516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629,526</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615,690</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-4474210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-3299460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-3282315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-2373630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5480" w:type="dxa"/>
            <w:vAlign w:val="bottom"/>
            <w:gridSpan w:val="2"/>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9"/>
              </w:rPr>
              <w:t>LeMaitre Vascular, Inc.</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60" w:type="dxa"/>
            <w:vAlign w:val="bottom"/>
          </w:tcPr>
          <w:p>
            <w:pPr>
              <w:spacing w:after="0"/>
              <w:rPr>
                <w:sz w:val="24"/>
                <w:szCs w:val="24"/>
                <w:color w:val="auto"/>
              </w:rPr>
            </w:pPr>
          </w:p>
        </w:tc>
        <w:tc>
          <w:tcPr>
            <w:tcW w:w="5480" w:type="dxa"/>
            <w:vAlign w:val="bottom"/>
            <w:gridSpan w:val="2"/>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60" w:type="dxa"/>
            <w:vAlign w:val="bottom"/>
          </w:tcPr>
          <w:p>
            <w:pPr>
              <w:spacing w:after="0"/>
              <w:rPr>
                <w:sz w:val="20"/>
                <w:szCs w:val="20"/>
                <w:color w:val="auto"/>
              </w:rPr>
            </w:pPr>
          </w:p>
        </w:tc>
        <w:tc>
          <w:tcPr>
            <w:tcW w:w="5480" w:type="dxa"/>
            <w:vAlign w:val="bottom"/>
            <w:gridSpan w:val="2"/>
          </w:tcPr>
          <w:p>
            <w:pPr>
              <w:jc w:val="center"/>
              <w:ind w:right="69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3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20" w:type="dxa"/>
            <w:vAlign w:val="bottom"/>
            <w:gridSpan w:val="5"/>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8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5480" w:type="dxa"/>
            <w:vAlign w:val="bottom"/>
            <w:gridSpan w:val="2"/>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66,551</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100" w:type="dxa"/>
            <w:vAlign w:val="bottom"/>
          </w:tcPr>
          <w:p>
            <w:pPr>
              <w:spacing w:after="0"/>
              <w:rPr>
                <w:sz w:val="18"/>
                <w:szCs w:val="18"/>
                <w:color w:val="auto"/>
              </w:rPr>
            </w:pPr>
          </w:p>
        </w:tc>
      </w:tr>
      <w:tr>
        <w:trPr>
          <w:trHeight w:val="209"/>
        </w:trPr>
        <w:tc>
          <w:tcPr>
            <w:tcW w:w="3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5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41,420</w:t>
            </w:r>
          </w:p>
        </w:tc>
        <w:tc>
          <w:tcPr>
            <w:tcW w:w="100" w:type="dxa"/>
            <w:vAlign w:val="bottom"/>
            <w:shd w:val="clear" w:color="auto" w:fill="CFF0FC"/>
          </w:tcPr>
          <w:p>
            <w:pPr>
              <w:spacing w:after="0"/>
              <w:rPr>
                <w:sz w:val="18"/>
                <w:szCs w:val="18"/>
                <w:color w:val="auto"/>
              </w:rPr>
            </w:pP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100" w:type="dxa"/>
            <w:vAlign w:val="bottom"/>
          </w:tcPr>
          <w:p>
            <w:pPr>
              <w:spacing w:after="0"/>
              <w:rPr>
                <w:sz w:val="24"/>
                <w:szCs w:val="24"/>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5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shd w:val="clear" w:color="auto" w:fill="CFF0FC"/>
          </w:tcPr>
          <w:p>
            <w:pPr>
              <w:spacing w:after="0"/>
              <w:rPr>
                <w:sz w:val="18"/>
                <w:szCs w:val="18"/>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0"/>
                <w:szCs w:val="20"/>
                <w:color w:val="auto"/>
              </w:rPr>
            </w:pPr>
          </w:p>
        </w:tc>
      </w:tr>
      <w:tr>
        <w:trPr>
          <w:trHeight w:val="198"/>
        </w:trPr>
        <w:tc>
          <w:tcPr>
            <w:tcW w:w="3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500" w:type="dxa"/>
            <w:vAlign w:val="bottom"/>
            <w:tcBorders>
              <w:bottom w:val="single" w:sz="8" w:color="CFF0FC"/>
              <w:right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0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5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5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(1,290)</w:t>
            </w:r>
          </w:p>
        </w:tc>
      </w:tr>
      <w:tr>
        <w:trPr>
          <w:trHeight w:val="216"/>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(loss) income, net</w:t>
            </w: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5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80" w:type="dxa"/>
            <w:vAlign w:val="bottom"/>
            <w:gridSpan w:val="2"/>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shd w:val="clear" w:color="auto" w:fill="CFF0FC"/>
          </w:tcPr>
          <w:p>
            <w:pPr>
              <w:spacing w:after="0"/>
              <w:rPr>
                <w:sz w:val="22"/>
                <w:szCs w:val="22"/>
                <w:color w:val="auto"/>
              </w:rPr>
            </w:pPr>
          </w:p>
        </w:tc>
      </w:tr>
      <w:tr>
        <w:trPr>
          <w:trHeight w:val="413"/>
        </w:trPr>
        <w:tc>
          <w:tcPr>
            <w:tcW w:w="3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450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5480" w:type="dxa"/>
            <w:vAlign w:val="bottom"/>
            <w:gridSpan w:val="2"/>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FF0FC"/>
          </w:tcPr>
          <w:p>
            <w:pPr>
              <w:spacing w:after="0"/>
              <w:rPr>
                <w:sz w:val="20"/>
                <w:szCs w:val="20"/>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45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32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480" w:type="dxa"/>
            <w:vAlign w:val="bottom"/>
            <w:gridSpan w:val="2"/>
          </w:tcPr>
          <w:p>
            <w:pPr>
              <w:jc w:val="right"/>
              <w:ind w:right="811"/>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0.68</w:t>
            </w:r>
          </w:p>
        </w:tc>
        <w:tc>
          <w:tcPr>
            <w:tcW w:w="160" w:type="dxa"/>
            <w:vAlign w:val="bottom"/>
          </w:tcPr>
          <w:p>
            <w:pPr>
              <w:spacing w:after="0"/>
              <w:rPr>
                <w:sz w:val="17"/>
                <w:szCs w:val="17"/>
                <w:color w:val="auto"/>
              </w:rPr>
            </w:pPr>
          </w:p>
        </w:tc>
        <w:tc>
          <w:tcPr>
            <w:tcW w:w="1120" w:type="dxa"/>
            <w:vAlign w:val="bottom"/>
            <w:gridSpan w:val="2"/>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45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1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6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500" w:type="dxa"/>
            <w:vAlign w:val="bottom"/>
            <w:tcBorders>
              <w:bottom w:val="single" w:sz="8" w:color="CFF0FC"/>
              <w:right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23,031</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22,899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4500" w:type="dxa"/>
            <w:vAlign w:val="bottom"/>
          </w:tcPr>
          <w:p>
            <w:pPr>
              <w:spacing w:after="0"/>
              <w:rPr>
                <w:sz w:val="24"/>
                <w:szCs w:val="24"/>
                <w:color w:val="auto"/>
              </w:rPr>
            </w:pPr>
          </w:p>
        </w:tc>
        <w:tc>
          <w:tcPr>
            <w:tcW w:w="980" w:type="dxa"/>
            <w:vAlign w:val="bottom"/>
          </w:tcPr>
          <w:p>
            <w:pPr>
              <w:jc w:val="right"/>
              <w:ind w:right="81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Pr>
          <w:p>
            <w:pPr>
              <w:spacing w:after="0"/>
              <w:rPr>
                <w:sz w:val="24"/>
                <w:szCs w:val="24"/>
                <w:color w:val="auto"/>
              </w:rPr>
            </w:pPr>
          </w:p>
        </w:tc>
        <w:tc>
          <w:tcPr>
            <w:tcW w:w="11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4"/>
                <w:szCs w:val="24"/>
                <w:color w:val="auto"/>
              </w:rPr>
            </w:pPr>
          </w:p>
        </w:tc>
      </w:tr>
      <w:tr>
        <w:trPr>
          <w:trHeight w:val="20"/>
        </w:trPr>
        <w:tc>
          <w:tcPr>
            <w:tcW w:w="3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260" w:type="dxa"/>
            <w:vAlign w:val="bottom"/>
          </w:tcPr>
          <w:p>
            <w:pPr>
              <w:spacing w:after="0"/>
              <w:rPr>
                <w:sz w:val="24"/>
                <w:szCs w:val="24"/>
                <w:color w:val="auto"/>
              </w:rPr>
            </w:pPr>
          </w:p>
        </w:tc>
        <w:tc>
          <w:tcPr>
            <w:tcW w:w="5480" w:type="dxa"/>
            <w:vAlign w:val="bottom"/>
            <w:gridSpan w:val="2"/>
          </w:tcPr>
          <w:p>
            <w:pPr>
              <w:jc w:val="center"/>
              <w:ind w:right="711"/>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60" w:type="dxa"/>
            <w:vAlign w:val="bottom"/>
          </w:tcPr>
          <w:p>
            <w:pPr>
              <w:spacing w:after="0"/>
              <w:rPr>
                <w:sz w:val="24"/>
                <w:szCs w:val="24"/>
                <w:color w:val="auto"/>
              </w:rPr>
            </w:pPr>
          </w:p>
        </w:tc>
        <w:tc>
          <w:tcPr>
            <w:tcW w:w="45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-4259580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-2588260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-2150745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-2133600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-1370965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680"/>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1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20" w:type="dxa"/>
            <w:vAlign w:val="bottom"/>
            <w:gridSpan w:val="5"/>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28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380" w:type="dxa"/>
            <w:vAlign w:val="bottom"/>
            <w:gridSpan w:val="2"/>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net</w:t>
            </w:r>
          </w:p>
        </w:tc>
        <w:tc>
          <w:tcPr>
            <w:tcW w:w="44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98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440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FF0FC"/>
          </w:tcPr>
          <w:p>
            <w:pPr>
              <w:spacing w:after="0"/>
              <w:rPr>
                <w:sz w:val="18"/>
                <w:szCs w:val="18"/>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440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42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400" w:type="dxa"/>
            <w:vAlign w:val="bottom"/>
          </w:tcPr>
          <w:p>
            <w:pPr>
              <w:spacing w:after="0"/>
              <w:rPr>
                <w:sz w:val="24"/>
                <w:szCs w:val="24"/>
                <w:color w:val="auto"/>
              </w:rPr>
            </w:pPr>
          </w:p>
        </w:tc>
        <w:tc>
          <w:tcPr>
            <w:tcW w:w="980" w:type="dxa"/>
            <w:vAlign w:val="bottom"/>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160" w:type="dxa"/>
            <w:vAlign w:val="bottom"/>
          </w:tcPr>
          <w:p>
            <w:pPr>
              <w:spacing w:after="0"/>
              <w:rPr>
                <w:sz w:val="24"/>
                <w:szCs w:val="24"/>
                <w:color w:val="auto"/>
              </w:rPr>
            </w:pPr>
          </w:p>
        </w:tc>
        <w:tc>
          <w:tcPr>
            <w:tcW w:w="112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24"/>
                <w:szCs w:val="24"/>
                <w:color w:val="auto"/>
              </w:rPr>
            </w:pPr>
          </w:p>
        </w:tc>
      </w:tr>
      <w:tr>
        <w:trPr>
          <w:trHeight w:val="20"/>
        </w:trPr>
        <w:tc>
          <w:tcPr>
            <w:tcW w:w="33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360" w:type="dxa"/>
            <w:vAlign w:val="bottom"/>
          </w:tcPr>
          <w:p>
            <w:pPr>
              <w:spacing w:after="0"/>
              <w:rPr>
                <w:sz w:val="24"/>
                <w:szCs w:val="24"/>
                <w:color w:val="auto"/>
              </w:rPr>
            </w:pPr>
          </w:p>
        </w:tc>
        <w:tc>
          <w:tcPr>
            <w:tcW w:w="5380" w:type="dxa"/>
            <w:vAlign w:val="bottom"/>
            <w:gridSpan w:val="2"/>
          </w:tcPr>
          <w:p>
            <w:pPr>
              <w:jc w:val="center"/>
              <w:ind w:right="772"/>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360" w:type="dxa"/>
            <w:vAlign w:val="bottom"/>
          </w:tcPr>
          <w:p>
            <w:pPr>
              <w:spacing w:after="0"/>
              <w:rPr>
                <w:sz w:val="24"/>
                <w:szCs w:val="24"/>
                <w:color w:val="auto"/>
              </w:rPr>
            </w:pPr>
          </w:p>
        </w:tc>
        <w:tc>
          <w:tcPr>
            <w:tcW w:w="440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-1370965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LeMaitre Vascular, Inc.</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p>
      <w:pPr>
        <w:spacing w:after="0" w:line="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760" w:type="dxa"/>
            <w:vAlign w:val="bottom"/>
            <w:gridSpan w:val="3"/>
            <w:vMerge w:val="restart"/>
          </w:tcPr>
          <w:p>
            <w:pPr>
              <w:jc w:val="right"/>
              <w:ind w:right="344"/>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w:t>
            </w:r>
          </w:p>
        </w:tc>
        <w:tc>
          <w:tcPr>
            <w:tcW w:w="200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2"/>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20"/>
              <w:spacing w:after="0" w:line="13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rPr>
              <w:t>e</w:t>
            </w:r>
          </w:p>
        </w:tc>
        <w:tc>
          <w:tcPr>
            <w:tcW w:w="20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42"/>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6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Balance at December 31, 2025</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24,396,904</w:t>
            </w:r>
          </w:p>
        </w:tc>
        <w:tc>
          <w:tcPr>
            <w:tcW w:w="880" w:type="dxa"/>
            <w:vAlign w:val="bottom"/>
            <w:gridSpan w:val="2"/>
            <w:shd w:val="clear" w:color="auto" w:fill="CFF0FC"/>
          </w:tcPr>
          <w:p>
            <w:pPr>
              <w:jc w:val="right"/>
              <w:ind w:right="524"/>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w w:val="88"/>
              </w:rPr>
              <w:t>244</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228,407</w:t>
            </w:r>
          </w:p>
        </w:tc>
        <w:tc>
          <w:tcPr>
            <w:tcW w:w="340" w:type="dxa"/>
            <w:vAlign w:val="bottom"/>
            <w:gridSpan w:val="2"/>
            <w:shd w:val="clear" w:color="auto" w:fill="CFF0FC"/>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184,715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43"/>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(2,411)</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1,624,297</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(17,439)</w:t>
            </w: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393,516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15,679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15,679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 income</w:t>
            </w: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(1,446)</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(1,446)</w:t>
            </w: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for stock options exercised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66,571</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2,951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Vested restricted stock units</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7,493</w:t>
            </w: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Vested performance-based restricted stock units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5,859</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88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Repurchase of common stock for net settlement of equity</w:t>
            </w: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awards</w:t>
            </w: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(460)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(460)</w:t>
            </w: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Common stock dividend paid</w:t>
            </w: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(5,711)</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(5,711)</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Balance at March 31, 2026</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24,476,827</w:t>
            </w:r>
          </w:p>
        </w:tc>
        <w:tc>
          <w:tcPr>
            <w:tcW w:w="240" w:type="dxa"/>
            <w:vAlign w:val="bottom"/>
          </w:tcPr>
          <w:p>
            <w:pPr>
              <w:spacing w:after="0"/>
              <w:rPr>
                <w:sz w:val="11"/>
                <w:szCs w:val="11"/>
                <w:color w:val="auto"/>
              </w:rPr>
            </w:pPr>
          </w:p>
        </w:tc>
        <w:tc>
          <w:tcPr>
            <w:tcW w:w="64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w w:val="88"/>
              </w:rPr>
              <w:t>245</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233,450</w:t>
            </w:r>
          </w:p>
        </w:tc>
        <w:tc>
          <w:tcPr>
            <w:tcW w:w="22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194,683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(3,857)</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1,629,094</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(17,899)</w:t>
            </w: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406,622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760" w:type="dxa"/>
            <w:vAlign w:val="bottom"/>
            <w:gridSpan w:val="3"/>
            <w:vMerge w:val="restart"/>
          </w:tcPr>
          <w:p>
            <w:pPr>
              <w:jc w:val="right"/>
              <w:ind w:right="344"/>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w:t>
            </w:r>
          </w:p>
        </w:tc>
        <w:tc>
          <w:tcPr>
            <w:tcW w:w="200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2"/>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20"/>
              <w:spacing w:after="0" w:line="13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rPr>
              <w:t>e</w:t>
            </w:r>
          </w:p>
        </w:tc>
        <w:tc>
          <w:tcPr>
            <w:tcW w:w="20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42"/>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6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Balance at December 31, 2024</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24,153,165</w:t>
            </w:r>
          </w:p>
        </w:tc>
        <w:tc>
          <w:tcPr>
            <w:tcW w:w="880" w:type="dxa"/>
            <w:vAlign w:val="bottom"/>
            <w:gridSpan w:val="2"/>
            <w:shd w:val="clear" w:color="auto" w:fill="CFF0FC"/>
          </w:tcPr>
          <w:p>
            <w:pPr>
              <w:jc w:val="right"/>
              <w:ind w:right="524"/>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w w:val="88"/>
              </w:rPr>
              <w:t>242</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213,760</w:t>
            </w:r>
          </w:p>
        </w:tc>
        <w:tc>
          <w:tcPr>
            <w:tcW w:w="340" w:type="dxa"/>
            <w:vAlign w:val="bottom"/>
            <w:gridSpan w:val="2"/>
            <w:shd w:val="clear" w:color="auto" w:fill="CFF0FC"/>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145,090</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43"/>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(6,184)</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1,603,825</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(15,618)</w:t>
            </w: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337,290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11,011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1,031</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1,031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for stock options exercised</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33,465</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Vested restricted stock units</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9,638</w:t>
            </w: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Vested performance-based restricted stock units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7,923</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88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Repurchase of common stock for net settlement of equity</w:t>
            </w: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awards</w:t>
            </w: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6,065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(601)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(601)</w:t>
            </w: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2,046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Common stock dividend paid</w:t>
            </w: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(4,517)</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(4,517)</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Balance at March 31, 2025</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24,204,191</w:t>
            </w:r>
          </w:p>
        </w:tc>
        <w:tc>
          <w:tcPr>
            <w:tcW w:w="240" w:type="dxa"/>
            <w:vAlign w:val="bottom"/>
          </w:tcPr>
          <w:p>
            <w:pPr>
              <w:spacing w:after="0"/>
              <w:rPr>
                <w:sz w:val="11"/>
                <w:szCs w:val="11"/>
                <w:color w:val="auto"/>
              </w:rPr>
            </w:pPr>
          </w:p>
        </w:tc>
        <w:tc>
          <w:tcPr>
            <w:tcW w:w="64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w w:val="88"/>
              </w:rPr>
              <w:t>242</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217,118</w:t>
            </w:r>
          </w:p>
        </w:tc>
        <w:tc>
          <w:tcPr>
            <w:tcW w:w="22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151,584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(5,153)</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1,609,890</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(16,219)</w:t>
            </w: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347,572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-1765300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-1765300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-1765300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-1765300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-1765300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-1765300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-1765300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-119380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-119380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-119380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-119380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-119380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-119380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-119380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 w:name="page7"/>
    <w:bookmarkEnd w:id="6"/>
    <w:p>
      <w:pPr>
        <w:ind w:left="4680"/>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(in</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60" w:type="dxa"/>
            <w:vAlign w:val="bottom"/>
          </w:tcPr>
          <w:p>
            <w:pPr>
              <w:spacing w:after="0"/>
              <w:rPr>
                <w:sz w:val="18"/>
                <w:szCs w:val="18"/>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issuance costs on convertible senior notes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investment income</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inventory write-downs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effect on income</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(4,619)</w:t>
            </w: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 and other deferred costs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(1,334)</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(5,258)</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shd w:val="clear" w:color="auto" w:fill="CFF0FC"/>
          </w:tcPr>
          <w:p>
            <w:pPr>
              <w:spacing w:after="0"/>
              <w:rPr>
                <w:sz w:val="18"/>
                <w:szCs w:val="18"/>
                <w:color w:val="auto"/>
              </w:rPr>
            </w:pPr>
          </w:p>
        </w:tc>
      </w:tr>
      <w:tr>
        <w:trPr>
          <w:trHeight w:val="432"/>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short-term marketable securities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(150,866)</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related to acquisitions, net of cash acquired</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short-term marketable securities</w:t>
            </w:r>
          </w:p>
        </w:tc>
        <w:tc>
          <w:tcPr>
            <w:tcW w:w="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(13,121)</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(4,320)</w:t>
            </w:r>
          </w:p>
        </w:tc>
      </w:tr>
      <w:tr>
        <w:trPr>
          <w:trHeight w:val="432"/>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payments for acquisitions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withholding taxes in connection with net settlement of equity awards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cash dividend paid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(4,517)</w:t>
            </w: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(5,239)</w:t>
            </w:r>
          </w:p>
        </w:tc>
      </w:tr>
      <w:tr>
        <w:trPr>
          <w:trHeight w:val="43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4"/>
                <w:szCs w:val="24"/>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00" w:type="dxa"/>
            <w:vAlign w:val="bottom"/>
          </w:tcPr>
          <w:p>
            <w:pPr>
              <w:spacing w:after="0"/>
              <w:rPr>
                <w:sz w:val="18"/>
                <w:szCs w:val="18"/>
                <w:color w:val="auto"/>
              </w:rPr>
            </w:pPr>
          </w:p>
        </w:tc>
      </w:tr>
      <w:tr>
        <w:trPr>
          <w:trHeight w:val="25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100" w:type="dxa"/>
            <w:vAlign w:val="bottom"/>
            <w:shd w:val="clear" w:color="auto" w:fill="CFF0FC"/>
          </w:tcPr>
          <w:p>
            <w:pPr>
              <w:spacing w:after="0"/>
              <w:rPr>
                <w:sz w:val="21"/>
                <w:szCs w:val="21"/>
                <w:color w:val="auto"/>
              </w:rPr>
            </w:pPr>
          </w:p>
        </w:tc>
      </w:tr>
      <w:tr>
        <w:trPr>
          <w:trHeight w:val="413"/>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Non-cash operating activities</w:t>
            </w:r>
          </w:p>
        </w:tc>
        <w:tc>
          <w:tcPr>
            <w:tcW w:w="9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432"/>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FF0FC"/>
          </w:tcPr>
          <w:p>
            <w:pPr>
              <w:spacing w:after="0"/>
              <w:rPr>
                <w:sz w:val="18"/>
                <w:szCs w:val="18"/>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Pr>
          <w:p>
            <w:pPr>
              <w:spacing w:after="0"/>
              <w:rPr>
                <w:sz w:val="20"/>
                <w:szCs w:val="20"/>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-996950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-979805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200" w:right="5660" w:hanging="192"/>
        <w:spacing w:after="0" w:line="503" w:lineRule="auto"/>
        <w:tabs>
          <w:tab w:leader="none" w:pos="18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Overview</w:t>
      </w: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Unless the context requires otherwise, references to LeMaitre, LeMaitre Vascular, and the Company refer to LeMaitre Vascular, Inc. and its subsidiaries. The Company’s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 The accompanying unaudited consolidated financial statements have been prepared on the basis of continuity of operations, realization of assets and the satisfaction of liabilities and commitments in the ordinary course of business. The consolidated financial statements include the accounts of the Company and its wholly-owned subsidiaries. All intercompany accounts and transactions have been eliminated in consolidation.</w:t>
      </w:r>
    </w:p>
    <w:p>
      <w:pPr>
        <w:spacing w:after="0" w:line="189"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and related notes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consolidated financial statements should be read in conjunction with the Company’s audited consolidated financial statements and the notes thereto for the year ended December 31, 2025, included in the Company’s Annual Report on Form 10-K filed with the SEC. In the opinion of management, all adjustments, consisting only of normal recurring adjustments necessary for a fair statement of the Company’s financial position as of March 31, 2026, and results of operations for the three months ended March 31, 2026 and 2025, and cash flows for the three months ended March 31, 2026 and 2025, have been made. The Company’s results of operations for the three months ended March 31, 2026, are not necessarily indicative of the results of operations that may be expected for the year ending December 31, 2026.</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A summary of the Company's significant accounting policies is included in Note 1 of the "Notes to Consolidated Financial Statements" contained in its Form 10-K for the year ended December 31, 2025. The Company believes that the consistent application of these policies enables it to provide users of the financial statements with useful and reliable information about its operating results and financial condition.</w:t>
      </w:r>
    </w:p>
    <w:p>
      <w:pPr>
        <w:spacing w:after="0" w:line="135" w:lineRule="exact"/>
        <w:rPr>
          <w:sz w:val="20"/>
          <w:szCs w:val="20"/>
          <w:color w:val="auto"/>
        </w:rPr>
      </w:pPr>
    </w:p>
    <w:p>
      <w:pPr>
        <w:ind w:right="100" w:firstLine="374"/>
        <w:spacing w:after="0" w:line="231" w:lineRule="exact"/>
        <w:rPr>
          <w:sz w:val="20"/>
          <w:szCs w:val="20"/>
          <w:color w:val="auto"/>
        </w:rPr>
      </w:pPr>
      <w:r>
        <w:rPr>
          <w:rFonts w:ascii="Times New Roman" w:cs="Times New Roman" w:eastAsia="Times New Roman" w:hAnsi="Times New Roman"/>
          <w:sz w:val="18"/>
          <w:szCs w:val="18"/>
          <w:color w:val="auto"/>
        </w:rPr>
        <w:t>Beginning in 2026, the Company is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for certain employee health benefits up to specified retention levels for its US-based employees. The Company records an expense as incurred with a liability for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insured risks based on its estimate of the ultimate cost of both reported claims and claims incurred but not yet reported as of the balance sheet date. Expenses are allocated to the applicable employee department on the consolidated statement of operations and liabilities are recorded to accrued expenses on the consolidated balance sheet.</w:t>
      </w:r>
    </w:p>
    <w:p>
      <w:pPr>
        <w:spacing w:after="0" w:line="159" w:lineRule="exact"/>
        <w:rPr>
          <w:sz w:val="20"/>
          <w:szCs w:val="20"/>
          <w:color w:val="auto"/>
        </w:rPr>
      </w:pPr>
    </w:p>
    <w:p>
      <w:pPr>
        <w:ind w:right="20" w:firstLine="374"/>
        <w:spacing w:after="0" w:line="238" w:lineRule="exact"/>
        <w:rPr>
          <w:sz w:val="20"/>
          <w:szCs w:val="20"/>
          <w:color w:val="auto"/>
        </w:rPr>
      </w:pPr>
      <w:r>
        <w:rPr>
          <w:rFonts w:ascii="Times New Roman" w:cs="Times New Roman" w:eastAsia="Times New Roman" w:hAnsi="Times New Roman"/>
          <w:sz w:val="18"/>
          <w:szCs w:val="18"/>
          <w:color w:val="auto"/>
        </w:rPr>
        <w:t>The estimation of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liabilities is a significant accounting estimate because it requires judgment and is subject to inherent uncertainty. Key assumptions used in estimating the liability include historical claims experience, claim development patterns, severity and frequency of claims, changes in healthcare costs, legal or regulatory developments, and other factors that may influence the ultimate cost of settling claims. The Company also uses information provided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administrators and independent actuarial specialists in developing these estimates.</w:t>
      </w:r>
    </w:p>
    <w:p>
      <w:pPr>
        <w:spacing w:after="0" w:line="17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There have been no other significant changes during the three months ended March 31, 2026 in any of the Company's Significant Accounting Policies from those contained in its Form 10-K for the year ended December 31, 2025.</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Induced Conversions of Convertible Debt Instruments. The new guidance clarifies the assessment of whether a transaction should be accounted for as an induced conversion or extinguishment of convertible debt when changes are made to conversion features as part of an offer to settle the instrument. The guidance is effective for fiscal years beginning after December 15, 2025, including interim reporting periods within those annual reporting periods, with early adoption permitted, and it can be adopted either on a prospective or retrospective basis. The Company adopted ASU 2024-04 effective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January 1, 2026, on a prospective basis. The adoption did not have a material impact on the Company's consolidated financial statements.</w:t>
      </w:r>
    </w:p>
    <w:p>
      <w:pPr>
        <w:spacing w:after="0" w:line="225" w:lineRule="exact"/>
        <w:rPr>
          <w:sz w:val="20"/>
          <w:szCs w:val="20"/>
          <w:color w:val="auto"/>
        </w:rPr>
      </w:pPr>
    </w:p>
    <w:p>
      <w:pPr>
        <w:ind w:right="240" w:firstLine="37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Modifications to Receivable and Contract Assets. The new guidance reduces the cost and complexity of applying the current expected credit loss model to current accounts receivable and current contract assets for public business entities through a practical expedient to assume that current conditions as of the balance sheet date will continue for the remaining life of assets. The guidance is effective for fiscal years beginning after December 15, 2025, including interim periods within those annual periods, with early adoption permitted on a prospective basis. The Company adopted ASU 2025-05 effective January 1, 2026 and elected the practical expedient. The adoption did not have a material impact on the Company's consolidated financial statements.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consolidated financial statements.</w:t>
      </w:r>
    </w:p>
    <w:p>
      <w:pPr>
        <w:spacing w:after="0" w:line="18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Internal-Use Software (Subtopic 350-40): Targeted Improvements to the Accounting for Internal-Use Software. The new guidance modernizes the accounting for internal-use software to current development practices, clarifies when to begin capitalizing costs and enhances disclosure requirements. The guidance is effective for fiscal years beginning after December 15, 2027, including interim periods within those annual periods, with early adoption permitted, and it can be adopted either on a prospective or retrospective basis. The Company is currently in the process of evaluating the impact of this pronouncement on its consolidated financial statements and related disclosures.</w:t>
      </w:r>
    </w:p>
    <w:p>
      <w:pPr>
        <w:spacing w:after="0" w:line="187" w:lineRule="exact"/>
        <w:rPr>
          <w:sz w:val="20"/>
          <w:szCs w:val="20"/>
          <w:color w:val="auto"/>
        </w:rPr>
      </w:pPr>
    </w:p>
    <w:p>
      <w:pPr>
        <w:ind w:right="400" w:firstLine="37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 The new guidance creates a comprehensive list of required interim disclosures and incorporates a disclosure principle that requires disclosures at interim periods when an event or change that has a material effect on an entity has occurred since the previous year end. The guidance is effective for interim periods within fiscal years beginning after December 15, 2027 and it can be adopted either on a prospective or retrospective basis. The Company is currently in the process of evaluating the impact of this pronouncement on its consolidated financial statements and related disclosures.</w:t>
      </w:r>
    </w:p>
    <w:p>
      <w:pPr>
        <w:spacing w:after="0" w:line="287" w:lineRule="exact"/>
        <w:rPr>
          <w:sz w:val="20"/>
          <w:szCs w:val="20"/>
          <w:color w:val="auto"/>
        </w:rPr>
      </w:pPr>
    </w:p>
    <w:p>
      <w:pPr>
        <w:ind w:left="200" w:right="9240" w:hanging="192"/>
        <w:spacing w:after="0" w:line="503" w:lineRule="auto"/>
        <w:tabs>
          <w:tab w:leader="none" w:pos="18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b w:val="1"/>
          <w:bCs w:val="1"/>
          <w:i w:val="1"/>
          <w:iCs w:val="1"/>
          <w:color w:val="auto"/>
        </w:rPr>
        <w:t>Investment Components</w:t>
      </w: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Company invests in short-term marketable securities which include money markets held in the investment portfolios, equity securities, and available-for-sale debt securities. Available-for-sale debt securities are carried at fair value, with unrealized gains and losses recorded in accumulated other comprehensive income (loss). Interest, dividends, and realized gains and losses are recorded in investment income and other income (loss) on the statement of operations.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investments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1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204,550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government agency securities</w:t>
            </w: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Yankee debt securities</w:t>
            </w: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investments</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313,133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200" w:type="dxa"/>
            <w:vAlign w:val="bottom"/>
            <w:tcBorders>
              <w:top w:val="single" w:sz="8" w:color="CFF0FC"/>
            </w:tcBorders>
          </w:tcPr>
          <w:p>
            <w:pPr>
              <w:jc w:val="right"/>
              <w:ind w:right="252"/>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28,106</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2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341,239</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800" w:type="dxa"/>
            <w:vAlign w:val="bottom"/>
            <w:tcBorders>
              <w:top w:val="single" w:sz="8" w:color="CFF0FC"/>
            </w:tcBorders>
          </w:tcPr>
          <w:p>
            <w:pPr>
              <w:spacing w:after="0"/>
              <w:rPr>
                <w:sz w:val="24"/>
                <w:szCs w:val="24"/>
                <w:color w:val="auto"/>
              </w:rPr>
            </w:pPr>
          </w:p>
        </w:tc>
        <w:tc>
          <w:tcPr>
            <w:tcW w:w="1200" w:type="dxa"/>
            <w:vAlign w:val="bottom"/>
            <w:tcBorders>
              <w:top w:val="single" w:sz="8" w:color="CFF0FC"/>
            </w:tcBorders>
          </w:tcPr>
          <w:p>
            <w:pPr>
              <w:jc w:val="right"/>
              <w:ind w:right="25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-1224915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-1224915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-1224915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-933450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-916305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-933450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-916305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-933450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-916305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1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168,802</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government agency securities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Yankee debt securities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investments</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273,243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0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200" w:type="dxa"/>
            <w:vAlign w:val="bottom"/>
          </w:tcPr>
          <w:p>
            <w:pPr>
              <w:spacing w:after="0"/>
              <w:rPr>
                <w:sz w:val="18"/>
                <w:szCs w:val="18"/>
                <w:color w:val="auto"/>
              </w:rPr>
            </w:pP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330,846</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-453390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-453390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-453390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As of March 31, 2026, certain available-for-sale securities were in an unrealized loss position. The Company does not intend to sell, and it is more-likely-than-not that the Company will not be required to sell, these securities before recovery of their amortized cost basis. Accordingly, the Company concluded that no credit losses were required to be recognized as of March 31, 2026.</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contractual maturities of available-for-sale debt securities as of March 31, 2026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 Basis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142"/>
        </w:trPr>
        <w:tc>
          <w:tcPr>
            <w:tcW w:w="7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219,563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219,066</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121,316</w:t>
            </w:r>
          </w:p>
        </w:tc>
        <w:tc>
          <w:tcPr>
            <w:tcW w:w="100" w:type="dxa"/>
            <w:vAlign w:val="bottom"/>
          </w:tcPr>
          <w:p>
            <w:pPr>
              <w:spacing w:after="0"/>
              <w:rPr>
                <w:sz w:val="18"/>
                <w:szCs w:val="18"/>
                <w:color w:val="auto"/>
              </w:rPr>
            </w:pPr>
          </w:p>
        </w:tc>
      </w:tr>
      <w:tr>
        <w:trPr>
          <w:trHeight w:val="24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341,239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340,382</w:t>
            </w:r>
          </w:p>
        </w:tc>
        <w:tc>
          <w:tcPr>
            <w:tcW w:w="100" w:type="dxa"/>
            <w:vAlign w:val="bottom"/>
            <w:shd w:val="clear" w:color="auto" w:fill="CFF0FC"/>
          </w:tcPr>
          <w:p>
            <w:pPr>
              <w:spacing w:after="0"/>
              <w:rPr>
                <w:sz w:val="21"/>
                <w:szCs w:val="21"/>
                <w:color w:val="auto"/>
              </w:rPr>
            </w:pPr>
          </w:p>
        </w:tc>
      </w:tr>
      <w:tr>
        <w:trPr>
          <w:trHeight w:val="737"/>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3. Inventory and Other Deferred Costs</w:t>
            </w: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and other deferred costs consisted of the following: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460" w:type="dxa"/>
            <w:vAlign w:val="bottom"/>
          </w:tcPr>
          <w:p>
            <w:pPr>
              <w:spacing w:after="0"/>
              <w:rPr>
                <w:sz w:val="24"/>
                <w:szCs w:val="24"/>
                <w:color w:val="auto"/>
              </w:rPr>
            </w:pPr>
          </w:p>
        </w:tc>
        <w:tc>
          <w:tcPr>
            <w:tcW w:w="168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4"/>
                <w:szCs w:val="24"/>
                <w:color w:val="auto"/>
              </w:rPr>
            </w:pPr>
          </w:p>
        </w:tc>
      </w:tr>
      <w:tr>
        <w:trPr>
          <w:trHeight w:val="210"/>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(in</w:t>
            </w:r>
          </w:p>
        </w:tc>
        <w:tc>
          <w:tcPr>
            <w:tcW w:w="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costs</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00" w:type="dxa"/>
            <w:vAlign w:val="bottom"/>
          </w:tcPr>
          <w:p>
            <w:pPr>
              <w:spacing w:after="0"/>
              <w:rPr>
                <w:sz w:val="18"/>
                <w:szCs w:val="18"/>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 and other deferred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70,820</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70,422</w:t>
            </w:r>
          </w:p>
        </w:tc>
        <w:tc>
          <w:tcPr>
            <w:tcW w:w="100" w:type="dxa"/>
            <w:vAlign w:val="bottom"/>
            <w:shd w:val="clear" w:color="auto" w:fill="CFF0FC"/>
          </w:tcPr>
          <w:p>
            <w:pPr>
              <w:spacing w:after="0"/>
              <w:rPr>
                <w:sz w:val="19"/>
                <w:szCs w:val="19"/>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-1919605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The Company had inventory on consignment at customer sites of $1.5 million and $1.6 million as of March 31, 2026, and December 31, 2025, respectively.</w:t>
      </w:r>
    </w:p>
    <w:p>
      <w:pPr>
        <w:spacing w:after="0" w:line="162"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In connection with the Company’s RestoreFlow allograft business, other deferred costs include costs incurred for the preservation of human tissues available for shipment, tissues currently in active processing, and tissues held in quarantine pending release to implantable status. By federal law, human tissues cannot be bought or sold. Therefore, the tissues the Company preserves are not held as inventory, and the costs the Company incurs to procure and process vascular tissues are instead accumulated and deferred. These costs include fixed and variable overhead costs associated with the cryopreservation process, including primarily direct labor costs, tissue recovery fees, inbound freight charges, indirect materials, and facilities costs. The Company expenses general and administrative expenses and selling expenses associated with the provision of these services as incurred.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Goodwill and Other Intangible Assets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was no change to goodwill during the three months ended March 31, 2026. Other intangible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8"/>
                <w:szCs w:val="18"/>
                <w:color w:val="auto"/>
              </w:rPr>
            </w:pPr>
          </w:p>
        </w:tc>
      </w:tr>
      <w:tr>
        <w:trPr>
          <w:trHeight w:val="204"/>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5"/>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r>
      <w:tr>
        <w:trPr>
          <w:trHeight w:val="213"/>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Product technology and intellectual</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00" w:type="dxa"/>
            <w:vAlign w:val="bottom"/>
            <w:shd w:val="clear" w:color="auto" w:fill="CFF0FC"/>
          </w:tcPr>
          <w:p>
            <w:pPr>
              <w:spacing w:after="0"/>
              <w:rPr>
                <w:sz w:val="20"/>
                <w:szCs w:val="20"/>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Trademarks, tradenames and licenses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r>
      <w:tr>
        <w:trPr>
          <w:trHeight w:val="209"/>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33,089</w:t>
            </w:r>
          </w:p>
        </w:tc>
        <w:tc>
          <w:tcPr>
            <w:tcW w:w="100" w:type="dxa"/>
            <w:vAlign w:val="bottom"/>
            <w:shd w:val="clear" w:color="auto" w:fill="CFF0FC"/>
          </w:tcPr>
          <w:p>
            <w:pPr>
              <w:spacing w:after="0"/>
              <w:rPr>
                <w:sz w:val="20"/>
                <w:szCs w:val="20"/>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-25400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purchased developed technology, trademarks, licenses, and non-compete provisions, and are amortized over their estimated useful lives. The weighted-average amortization period for these intangibles as of March 31, 2026, is 7.7 years. The Company includes amortization expense in general and administrative expense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9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6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92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1360" w:type="dxa"/>
            <w:vAlign w:val="bottom"/>
          </w:tcPr>
          <w:p>
            <w:pPr>
              <w:spacing w:after="0"/>
              <w:rPr>
                <w:sz w:val="16"/>
                <w:szCs w:val="16"/>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0"/>
        </w:trPr>
        <w:tc>
          <w:tcPr>
            <w:tcW w:w="6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140" w:firstLine="374"/>
        <w:spacing w:after="0" w:line="282" w:lineRule="auto"/>
        <w:rPr>
          <w:sz w:val="20"/>
          <w:szCs w:val="20"/>
          <w:color w:val="auto"/>
        </w:rPr>
      </w:pPr>
      <w:r>
        <w:rPr>
          <w:rFonts w:ascii="Times New Roman" w:cs="Times New Roman" w:eastAsia="Times New Roman" w:hAnsi="Times New Roman"/>
          <w:sz w:val="18"/>
          <w:szCs w:val="18"/>
          <w:color w:val="auto"/>
        </w:rPr>
        <w:t>Estimated amortization expense for the remainder of 2026, and for each of the next five fiscal years, based upon intangible assets at March 31, 2026,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2031</w:t>
            </w:r>
          </w:p>
        </w:tc>
      </w:tr>
      <w:tr>
        <w:trPr>
          <w:trHeight w:val="191"/>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240" w:type="dxa"/>
            <w:vAlign w:val="bottom"/>
            <w:gridSpan w:val="3"/>
          </w:tcPr>
          <w:p>
            <w:pPr>
              <w:jc w:val="right"/>
              <w:ind w:right="490"/>
              <w:spacing w:after="0" w:line="191" w:lineRule="exact"/>
              <w:rPr>
                <w:sz w:val="20"/>
                <w:szCs w:val="20"/>
                <w:color w:val="auto"/>
              </w:rPr>
            </w:pPr>
            <w:r>
              <w:rPr>
                <w:rFonts w:ascii="Times New Roman" w:cs="Times New Roman" w:eastAsia="Times New Roman" w:hAnsi="Times New Roman"/>
                <w:sz w:val="18"/>
                <w:szCs w:val="18"/>
                <w:b w:val="1"/>
                <w:bCs w:val="1"/>
                <w:color w:val="auto"/>
                <w:w w:val="76"/>
              </w:rPr>
              <w:t>thousands)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4,853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0"/>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380" w:right="7120" w:hanging="372"/>
        <w:spacing w:after="0" w:line="546" w:lineRule="auto"/>
        <w:tabs>
          <w:tab w:leader="none" w:pos="18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Long-term Liabilities </w:t>
      </w:r>
      <w:r>
        <w:rPr>
          <w:rFonts w:ascii="Times New Roman" w:cs="Times New Roman" w:eastAsia="Times New Roman" w:hAnsi="Times New Roman"/>
          <w:sz w:val="17"/>
          <w:szCs w:val="17"/>
          <w:color w:val="auto"/>
        </w:rPr>
        <w:t>Accrued expenses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98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taxes</w:t>
            </w:r>
          </w:p>
        </w:tc>
        <w:tc>
          <w:tcPr>
            <w:tcW w:w="3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52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-1079500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Pr>
          <w:p>
            <w:pPr>
              <w:spacing w:after="0"/>
              <w:rPr>
                <w:sz w:val="24"/>
                <w:szCs w:val="24"/>
                <w:color w:val="auto"/>
              </w:rPr>
            </w:pPr>
          </w:p>
        </w:tc>
      </w:tr>
      <w:tr>
        <w:trPr>
          <w:trHeight w:val="209"/>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98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20" w:type="dxa"/>
            <w:vAlign w:val="bottom"/>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2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its consolidated financial statements, the Company is required to determine its income taxes in each of the jurisdictions in which it operates. This process involves the Company estimating its actual current tax expense together with assessing temporary differences resulting from recognition of items for income tax and accounting purposes. These differences result in deferred tax assets and liabilities, which are included within the Company’s consolidated balance sheet. The Company must then assess the likelihood that its deferred tax assets will be recovered from taxable income during the carryback period or in the future; and to the extent the Company believes that recovery is not more likely than not, the Company must establish a valuation allowance. To the extent the Company establishes a valuation allowance or increases its allowance in a period, the Company must reflect this increase as an expense within the tax provision in the statement of operations. The Company does not provide for income taxes on undistributed earnings of certain foreign subsidiaries, as its intention is to permanently reinvest these earnings.</w:t>
      </w:r>
    </w:p>
    <w:p>
      <w:pPr>
        <w:spacing w:after="0" w:line="19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The Company recognizes, measures, presents, and discloses in its consolidated financial statements any uncertain tax positions that it has taken, or expects to take on a tax return. The Company operates in multiple taxing jurisdictions, both inside and outside the United States, and may be subject to audits from various tax authorities. Management’s judgment is required in determining the Company’s provision for income taxes, deferred tax assets and liabilities, liabilities for uncertain tax positions, and any valuation allowance recorded against the Company’s net deferred tax assets. The Company monitors the realizability of its deferred tax assets and will adjust the valuation allowance accordingly.</w:t>
      </w:r>
    </w:p>
    <w:p>
      <w:pPr>
        <w:spacing w:after="0" w:line="183"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The Company’s policy is to classify interest and penalties related to unrecognized tax benefits as income tax expense. The Company’s 2026 income tax expense varies from the statutory rate mainly due to the generation of federal and state tax credits, permanent items, different statutory rates from its foreign subsidiaries, and discrete stock option exercises. The Company’s 2025 income tax expense varied from the statutory rate mainly due to the generation of federal and state tax credits, permanent items, different statutory rates from its foreign subsidiaries, and discrete stock option exercises.</w:t>
      </w:r>
    </w:p>
    <w:p>
      <w:pPr>
        <w:spacing w:after="0" w:line="180"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Company has reviewed the tax positions taken, or to be taken, in its tax returns for all tax years currently open to examination by a taxing authority. As of March 31, 2026, the gross amount of unrecognized tax benefits exclusive of interest and penalties was $0.4 million. The Company remains subject to examination until the statute of limitations expires for each remaining respective tax jurisdiction. The statute of limitations will be open with respect to these tax positions until 2031. A reconciliation of beginning and ending amount of the Company’s unrecognized tax benefits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9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9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as of December 31,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Additions/adjustments for tax positions of current year</w:t>
            </w:r>
          </w:p>
        </w:tc>
        <w:tc>
          <w:tcPr>
            <w:tcW w:w="12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Additions/adjustments for tax positions of prior years</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settlements with taxing authorities</w:t>
            </w:r>
          </w:p>
        </w:tc>
        <w:tc>
          <w:tcPr>
            <w:tcW w:w="12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03"/>
        </w:trPr>
        <w:tc>
          <w:tcPr>
            <w:tcW w:w="924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Reductions for lapses of the applicable statutes of limitations</w:t>
            </w:r>
          </w:p>
        </w:tc>
        <w:tc>
          <w:tcPr>
            <w:tcW w:w="1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10"/>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Unrecognized tax benefits as of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2026, a summary of the tax years that remain subject to examination in the Company’s taxing jurisdictions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980" w:type="dxa"/>
            <w:vAlign w:val="bottom"/>
            <w:shd w:val="clear" w:color="auto" w:fill="CFF0FC"/>
          </w:tcPr>
          <w:p>
            <w:pPr>
              <w:ind w:left="6680"/>
              <w:spacing w:after="0"/>
              <w:rPr>
                <w:sz w:val="20"/>
                <w:szCs w:val="20"/>
                <w:color w:val="auto"/>
              </w:rPr>
            </w:pPr>
            <w:r>
              <w:rPr>
                <w:rFonts w:ascii="Times New Roman" w:cs="Times New Roman" w:eastAsia="Times New Roman" w:hAnsi="Times New Roman"/>
                <w:sz w:val="18"/>
                <w:szCs w:val="18"/>
                <w:color w:val="auto"/>
                <w:w w:val="99"/>
              </w:rPr>
              <w:t>2022 and forward</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980" w:type="dxa"/>
            <w:vAlign w:val="bottom"/>
          </w:tcPr>
          <w:p>
            <w:pPr>
              <w:ind w:left="6680"/>
              <w:spacing w:after="0"/>
              <w:rPr>
                <w:sz w:val="20"/>
                <w:szCs w:val="20"/>
                <w:color w:val="auto"/>
              </w:rPr>
            </w:pPr>
            <w:r>
              <w:rPr>
                <w:rFonts w:ascii="Times New Roman" w:cs="Times New Roman" w:eastAsia="Times New Roman" w:hAnsi="Times New Roman"/>
                <w:sz w:val="18"/>
                <w:szCs w:val="18"/>
                <w:color w:val="auto"/>
                <w:w w:val="99"/>
              </w:rPr>
              <w:t>2017 and forward</w:t>
            </w:r>
          </w:p>
        </w:tc>
      </w:tr>
      <w:tr>
        <w:trPr>
          <w:trHeight w:val="630"/>
        </w:trPr>
        <w:tc>
          <w:tcPr>
            <w:tcW w:w="3260" w:type="dxa"/>
            <w:vAlign w:val="bottom"/>
          </w:tcPr>
          <w:p>
            <w:pPr>
              <w:spacing w:after="0"/>
              <w:rPr>
                <w:sz w:val="24"/>
                <w:szCs w:val="24"/>
                <w:color w:val="auto"/>
              </w:rPr>
            </w:pPr>
          </w:p>
        </w:tc>
        <w:tc>
          <w:tcPr>
            <w:tcW w:w="79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10</w:t>
            </w:r>
          </w:p>
        </w:tc>
      </w:tr>
      <w:tr>
        <w:trPr>
          <w:trHeight w:val="763"/>
        </w:trPr>
        <w:tc>
          <w:tcPr>
            <w:tcW w:w="326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Convertible senior notes consisted of the following:</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Pr>
          <w:p>
            <w:pPr>
              <w:spacing w:after="0"/>
              <w:rPr>
                <w:sz w:val="24"/>
                <w:szCs w:val="24"/>
                <w:color w:val="auto"/>
              </w:rPr>
            </w:pPr>
          </w:p>
        </w:tc>
      </w:tr>
      <w:tr>
        <w:trPr>
          <w:trHeight w:val="209"/>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980" w:type="dxa"/>
            <w:vAlign w:val="bottom"/>
            <w:gridSpan w:val="4"/>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20" w:type="dxa"/>
            <w:vAlign w:val="bottom"/>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convertible senior notes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shd w:val="clear" w:color="auto" w:fill="CFF0FC"/>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 of convertible senior notes</w:t>
            </w:r>
          </w:p>
        </w:tc>
        <w:tc>
          <w:tcPr>
            <w:tcW w:w="160" w:type="dxa"/>
            <w:vAlign w:val="bottom"/>
          </w:tcPr>
          <w:p>
            <w:pPr>
              <w:spacing w:after="0"/>
              <w:rPr>
                <w:sz w:val="18"/>
                <w:szCs w:val="18"/>
                <w:color w:val="auto"/>
              </w:rPr>
            </w:pP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 net of current portion</w:t>
            </w: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shd w:val="clear" w:color="auto" w:fill="CFF0FC"/>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160" w:type="dxa"/>
            <w:vAlign w:val="bottom"/>
          </w:tcPr>
          <w:p>
            <w:pPr>
              <w:spacing w:after="0"/>
              <w:rPr>
                <w:sz w:val="18"/>
                <w:szCs w:val="18"/>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(3,855)</w:t>
            </w:r>
          </w:p>
        </w:tc>
      </w:tr>
      <w:tr>
        <w:trPr>
          <w:trHeight w:val="20"/>
        </w:trPr>
        <w:tc>
          <w:tcPr>
            <w:tcW w:w="7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 net of discount and current portion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168,867</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168,645</w:t>
            </w:r>
          </w:p>
        </w:tc>
        <w:tc>
          <w:tcPr>
            <w:tcW w:w="120" w:type="dxa"/>
            <w:vAlign w:val="bottom"/>
            <w:shd w:val="clear" w:color="auto" w:fill="CFF0FC"/>
          </w:tcPr>
          <w:p>
            <w:pPr>
              <w:spacing w:after="0"/>
              <w:rPr>
                <w:sz w:val="19"/>
                <w:szCs w:val="19"/>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On December 19, 2024, the Company issued $172.5 million aggregate principal amount of convertible senior notes due 2030 (the "Senior Convertible Notes"), in a Rule 144A private placement to qualified institutional buyers pursuant to an indenture dated December 19, 2024, by and between the Company and U.S. Bank Trust Company, National Association (the “Indenture”).</w:t>
      </w:r>
    </w:p>
    <w:p>
      <w:pPr>
        <w:spacing w:after="0" w:line="176"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Senior Convertible Notes will mature on February 1, 2030, unless earlier repurchased, redeemed, or converted. The proceeds from the issuance of the Senior Convertible Notes were approximately $167.7 million, net of initial purchaser discounts and other debt issuance costs totaling $4.8 million.</w:t>
      </w:r>
    </w:p>
    <w:p>
      <w:pPr>
        <w:spacing w:after="0" w:line="162"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Senior Convertible Notes bear interest at a rate of 2.50% per year and interest is payable semiannually in arrears on August 1 and February 1 of each year. For the three months ended March 31, 2026, the Company made $2.2 million in interest payments. The Company did not make any interest payments for the three months ended March 31, 2025. The initial conversion rate was 8.3521 shares of common stock per $1,000 principal amount of the Senior Convertible Notes, which represents an initial conversion price of approximately $119.73 per share of common stock and a premium of approximately 30% over the closing price of the Company’s common stock on December 16, 2024. In connection with the most recent payment made by the Company on March 26, 2026 of a quarterly cash dividend of $0.25 per share (an increase from the quarterly dividend amount of $0.16 per share as of the time of issuance of the Senior Convertible Notes), the conversion rate of the Senior Convertible Notes was increased to 8.3746 shares of common stock per $1,000 principal amount of the Senior Convertible Notes, which represents a conversion price of approximately $119.41 per share of common stock. A similar adjustment to the conversion rate will be made by the Company upon payment of the quarterly cash dividend of $0.25 on June 4, 2026, and upon payment of subsequent quarterly dividends in excess of $0.16 per share. The conversion rate and conversion price are subject to customary adjustments upon the occurrence of certain events as described in the Indenture.</w:t>
      </w:r>
    </w:p>
    <w:p>
      <w:pPr>
        <w:spacing w:after="0" w:line="192"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Noteholders may convert all or a portion of their Senior Convertible Notes at their option only in the following circumstances: (1) during any calendar quarter commencing after the calendar quarter ending on June 30, 2025, if the last reported sale price per share of the Company’s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five consecutive trading day period in which the trading price per $1,000 principal amount of Senior Convertible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described in the Indenture; (4) if the Company calls (or is deemed to have called) any Senior Convertible Notes for redemption; and (5) at any time from, and including, August 1, 2029, until the close of business on the second scheduled trading day immediately before the maturity date. The Company has the right to elect to settle conversions either in cash, shares of its common stock, or in a combination of cash and shares of its common stock.</w:t>
      </w:r>
    </w:p>
    <w:p>
      <w:pPr>
        <w:spacing w:after="0" w:line="194"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Additional interest of up to 0.5% per annum is payable if the Company fails to timely file required documents or reports with the SEC or the Senior Convertible Notes become not freely tradable (as defined in the Indenture). The Company determined that the higher interest payments required in certain circumstances were embedded derivatives that should be bifurcated and accounted for at fair value. The Company assessed the value of the embedded derivatives at each balance sheet date and determined they had de minimis value.</w:t>
      </w:r>
    </w:p>
    <w:p>
      <w:pPr>
        <w:spacing w:after="0" w:line="180" w:lineRule="exact"/>
        <w:rPr>
          <w:sz w:val="20"/>
          <w:szCs w:val="20"/>
          <w:color w:val="auto"/>
        </w:rPr>
      </w:pPr>
    </w:p>
    <w:p>
      <w:pPr>
        <w:ind w:right="100" w:firstLine="374"/>
        <w:spacing w:after="0" w:line="252" w:lineRule="auto"/>
        <w:rPr>
          <w:sz w:val="20"/>
          <w:szCs w:val="20"/>
          <w:color w:val="auto"/>
        </w:rPr>
      </w:pPr>
      <w:r>
        <w:rPr>
          <w:rFonts w:ascii="Times New Roman" w:cs="Times New Roman" w:eastAsia="Times New Roman" w:hAnsi="Times New Roman"/>
          <w:sz w:val="18"/>
          <w:szCs w:val="18"/>
          <w:color w:val="auto"/>
        </w:rPr>
        <w:t>Prior to February 5, 2028, the Senior Convertible Notes will not be redeemable. On or after February 5, 2028, until the 40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trading day immediately before the maturity date, the Company may redeem for cash all or any portion of the Senior Convertible Notes (subject to the partial redemption limitation set forth in the Indenture), at its option, if the last reported sale price of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right="40"/>
        <w:spacing w:after="0" w:line="258" w:lineRule="auto"/>
        <w:rPr>
          <w:sz w:val="20"/>
          <w:szCs w:val="20"/>
          <w:color w:val="auto"/>
        </w:rPr>
      </w:pPr>
      <w:r>
        <w:rPr>
          <w:rFonts w:ascii="Times New Roman" w:cs="Times New Roman" w:eastAsia="Times New Roman" w:hAnsi="Times New Roman"/>
          <w:sz w:val="18"/>
          <w:szCs w:val="18"/>
          <w:color w:val="auto"/>
        </w:rPr>
        <w:t>Company’s common stock has been at least 130% of the conversion price then in effect for at least 20 trading days (whether or not consecutive) during any 30-consecutive-trading-day period (including the last trading day of such period) ending on, and including, the trading day immediately preceding the date on which the Company provides notice of redemption. In addition, calling any Senior Convertible Note for redemption will constitute a “Make-Whole Fundamental Change” (as defined in the Indenture) with respect to that Senior Convertible Note, in which case the conversion rate applicable to the conversion of that Senior Convertible Note will be increased in certain circumstances if it is converted after it is called for redemption.</w:t>
      </w:r>
    </w:p>
    <w:p>
      <w:pPr>
        <w:spacing w:after="0" w:line="18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$1.1 million in interest expense related to the 2.50% cash coupon of the Senior Convertible Notes and $0.2 million of amortization expense of the debt issuance costs. During the three months ended March 31, 2025, the Company recognized $1.1 million in interest expense related to the 2.50% cash coupon of the Senior Convertible Notes and $0.2 million of amortization expense of the debt issuance costs. As of March 31, 2026, the estimated fair value of the Senior Convertible Notes was $194.6 million compared to $172.3 million as of December 31, 2025. The fair value was determined based on the quoted price of the last trade of the Senior Convertible Notes prior to the end of the reporting period in an inactive market, which is considered as Level 2 in the fair value hierarchy.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Company’s Fourth Amended and Restated 2006 Stock Option and Incentive Plan allows for granting of incentive stock options, non-qualified stock options, stock appreciation rights, restricted stock units, performance-based restricted stock units, unrestricted stock awards, and deferred stock awards to its officers, employees, directors, and consultants. The components of stock-based compensation expense included in the consolidated statements of operations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2860" w:type="dxa"/>
            <w:vAlign w:val="bottom"/>
            <w:gridSpan w:val="4"/>
          </w:tcPr>
          <w:p>
            <w:pPr>
              <w:jc w:val="center"/>
              <w:ind w:left="39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32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 awards</w:t>
            </w:r>
          </w:p>
        </w:tc>
        <w:tc>
          <w:tcPr>
            <w:tcW w:w="102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320" w:type="dxa"/>
            <w:vAlign w:val="bottom"/>
            <w:gridSpan w:val="2"/>
            <w:shd w:val="clear" w:color="auto" w:fill="CFF0FC"/>
          </w:tcPr>
          <w:p>
            <w:pPr>
              <w:jc w:val="center"/>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32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4"/>
                <w:szCs w:val="24"/>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8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Stock-based compensation is included in the Company’s consolidated statements of operations as follows: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7760" w:type="dxa"/>
            <w:vAlign w:val="bottom"/>
          </w:tcPr>
          <w:p>
            <w:pPr>
              <w:spacing w:after="0"/>
              <w:rPr>
                <w:sz w:val="24"/>
                <w:szCs w:val="24"/>
                <w:color w:val="auto"/>
              </w:rPr>
            </w:pPr>
          </w:p>
        </w:tc>
        <w:tc>
          <w:tcPr>
            <w:tcW w:w="2860" w:type="dxa"/>
            <w:vAlign w:val="bottom"/>
            <w:gridSpan w:val="4"/>
          </w:tcPr>
          <w:p>
            <w:pPr>
              <w:jc w:val="center"/>
              <w:ind w:left="39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7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132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320" w:type="dxa"/>
            <w:vAlign w:val="bottom"/>
            <w:gridSpan w:val="2"/>
            <w:shd w:val="clear" w:color="auto" w:fill="CFF0FC"/>
          </w:tcPr>
          <w:p>
            <w:pPr>
              <w:jc w:val="center"/>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2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320" w:type="dxa"/>
            <w:vAlign w:val="bottom"/>
            <w:gridSpan w:val="2"/>
            <w:shd w:val="clear" w:color="auto" w:fill="CFF0FC"/>
          </w:tcPr>
          <w:p>
            <w:pPr>
              <w:jc w:val="center"/>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FF0FC"/>
          </w:tcPr>
          <w:p>
            <w:pPr>
              <w:spacing w:after="0"/>
              <w:rPr>
                <w:sz w:val="20"/>
                <w:szCs w:val="20"/>
                <w:color w:val="auto"/>
              </w:rPr>
            </w:pP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-2176780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grant any options, restricted stock units, or performance-based restricted stock units. During the three months ended March 31, 2025, the Company granted 741 options, 1,521 restricted stock units, and 129 performance-based restricted stock units. The Company issued 79,923 and 51,026 shares of common stock following the exercise or vesting of underlying stock options, restricted stock units, and performance-based restricted stock units during the three months ended March 31, 2026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Income per Share</w:t>
      </w:r>
    </w:p>
    <w:p>
      <w:pPr>
        <w:spacing w:after="0" w:line="22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Company computes basic net income per common share by dividing the net income by the weighted average number of shares of common stock outstanding for the period. Diluted net income per common share is computed by dividing net income by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weighted average number of shares of common stock outstanding for the period, including potential dilutive common shares assuming the dilutive effect of outstanding stock awards, using the treasury stock method, and outstanding senior convertible notes, using the if-converted method.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dilutive net income per common share computations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42"/>
        </w:trPr>
        <w:tc>
          <w:tcPr>
            <w:tcW w:w="5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20" w:type="dxa"/>
            <w:vAlign w:val="bottom"/>
            <w:gridSpan w:val="4"/>
          </w:tcPr>
          <w:p>
            <w:pPr>
              <w:jc w:val="center"/>
              <w:ind w:left="5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80" w:type="dxa"/>
            <w:vAlign w:val="bottom"/>
            <w:gridSpan w:val="2"/>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36"/>
        </w:trPr>
        <w:tc>
          <w:tcPr>
            <w:tcW w:w="56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5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56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Weighted average dilutive common shares outstanding</w:t>
            </w:r>
          </w:p>
        </w:tc>
        <w:tc>
          <w:tcPr>
            <w:tcW w:w="1540" w:type="dxa"/>
            <w:vAlign w:val="bottom"/>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23,031</w:t>
            </w:r>
          </w:p>
        </w:tc>
        <w:tc>
          <w:tcPr>
            <w:tcW w:w="2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22,899</w:t>
            </w:r>
          </w:p>
        </w:tc>
        <w:tc>
          <w:tcPr>
            <w:tcW w:w="1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8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46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FF0FC"/>
          </w:tcPr>
          <w:p>
            <w:pPr>
              <w:spacing w:after="0"/>
              <w:rPr>
                <w:sz w:val="18"/>
                <w:szCs w:val="18"/>
                <w:color w:val="auto"/>
              </w:rPr>
            </w:pPr>
          </w:p>
        </w:tc>
      </w:tr>
      <w:tr>
        <w:trPr>
          <w:trHeight w:val="234"/>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80" w:type="dxa"/>
            <w:vAlign w:val="bottom"/>
            <w:gridSpan w:val="2"/>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The Company computed the if-converted method to calculate diluted net income per common share regarding the Senior Convertible Notes, noting there was no dilutive effect on the calculations for the three months ended March 31, 2026 and 2025.</w:t>
      </w:r>
    </w:p>
    <w:p>
      <w:pPr>
        <w:spacing w:after="0" w:line="16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excluded potential dilutive securities from the computation of diluted earnings per common share that would be anti-dilutive to net income per common share. The Company excluded the following potential common shares, presented based on amounts outstanding at each period end, from the computation of diluted net income per common share attributable to common shareholders for the periods indicated because including them would have an anti-dilutive effect:</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senior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to purchase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1880" w:type="dxa"/>
            <w:vAlign w:val="bottom"/>
          </w:tcPr>
          <w:p>
            <w:pPr>
              <w:jc w:val="right"/>
              <w:ind w:right="139"/>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8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95"/>
              </w:rPr>
              <w:t>thousands)</w:t>
            </w:r>
          </w:p>
        </w:tc>
        <w:tc>
          <w:tcPr>
            <w:tcW w:w="1320" w:type="dxa"/>
            <w:vAlign w:val="bottom"/>
          </w:tcPr>
          <w:p>
            <w:pPr>
              <w:spacing w:after="0"/>
              <w:rPr>
                <w:sz w:val="16"/>
                <w:szCs w:val="16"/>
                <w:color w:val="auto"/>
              </w:rPr>
            </w:pPr>
          </w:p>
        </w:tc>
      </w:tr>
      <w:tr>
        <w:trPr>
          <w:trHeight w:val="216"/>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2700" w:type="dxa"/>
            <w:vAlign w:val="bottom"/>
            <w:gridSpan w:val="4"/>
          </w:tcPr>
          <w:p>
            <w:pPr>
              <w:jc w:val="right"/>
              <w:ind w:right="8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2700" w:type="dxa"/>
            <w:vAlign w:val="bottom"/>
            <w:gridSpan w:val="4"/>
          </w:tcPr>
          <w:p>
            <w:pPr>
              <w:jc w:val="right"/>
              <w:ind w:right="8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-719455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-445135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-161925</wp:posOffset>
            </wp:positionV>
            <wp:extent cx="713232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83" w:lineRule="exact"/>
        <w:rPr>
          <w:sz w:val="20"/>
          <w:szCs w:val="20"/>
          <w:color w:val="auto"/>
        </w:rPr>
      </w:pPr>
    </w:p>
    <w:p>
      <w:pPr>
        <w:sectPr>
          <w:pgSz w:w="11900" w:h="16838" w:orient="portrait"/>
          <w:cols w:equalWidth="0" w:num="2">
            <w:col w:w="6400" w:space="720"/>
            <w:col w:w="4120"/>
          </w:cols>
          <w:pgMar w:left="320" w:top="1201" w:right="339" w:bottom="1440" w:gutter="0" w:footer="0" w:header="0"/>
          <w:type w:val="continuous"/>
        </w:sectPr>
      </w:pPr>
    </w:p>
    <w:p>
      <w:pPr>
        <w:spacing w:after="0" w:line="2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On February 19, 2026, the Company’s Board of Directors authorized the repurchase of up to $100.0 million of the Company’s common stock through transactions on the open market, in privately negotiated purchases, or otherwise until February 18, 2027. The repurchase program may be suspended or discontinued at any time. To date the Company has not made any repurchases under this program.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5" w:name="page16"/>
    <w:bookmarkEnd w:id="15"/>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420" w:firstLine="374"/>
        <w:spacing w:after="0" w:line="266" w:lineRule="auto"/>
        <w:rPr>
          <w:sz w:val="20"/>
          <w:szCs w:val="20"/>
          <w:color w:val="auto"/>
        </w:rPr>
      </w:pPr>
      <w:r>
        <w:rPr>
          <w:rFonts w:ascii="Times New Roman" w:cs="Times New Roman" w:eastAsia="Times New Roman" w:hAnsi="Times New Roman"/>
          <w:sz w:val="18"/>
          <w:szCs w:val="18"/>
          <w:color w:val="auto"/>
        </w:rPr>
        <w:t>In February 2011, the Company’s Board of Directors approved a policy for the payment of quarterly cash dividends on its common stock. Future declarations of quarterly dividends and the establishment of future record and payment dates are subject to approval by the Board of Directors on a quarterly basis. The dividend activity for the periods presented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80" w:type="dxa"/>
            <w:vAlign w:val="bottom"/>
          </w:tcPr>
          <w:p>
            <w:pPr>
              <w:spacing w:after="0"/>
              <w:rPr>
                <w:sz w:val="20"/>
                <w:szCs w:val="20"/>
                <w:color w:val="auto"/>
              </w:rPr>
            </w:pPr>
          </w:p>
        </w:tc>
        <w:tc>
          <w:tcPr>
            <w:tcW w:w="2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 Share Amount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Payment</w:t>
            </w:r>
          </w:p>
        </w:tc>
      </w:tr>
      <w:tr>
        <w:trPr>
          <w:trHeight w:val="209"/>
        </w:trPr>
        <w:tc>
          <w:tcPr>
            <w:tcW w:w="4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jc w:val="right"/>
              <w:ind w:right="3370"/>
              <w:spacing w:after="0"/>
              <w:rPr>
                <w:sz w:val="20"/>
                <w:szCs w:val="20"/>
                <w:color w:val="auto"/>
              </w:rPr>
            </w:pPr>
            <w:r>
              <w:rPr>
                <w:rFonts w:ascii="Times New Roman" w:cs="Times New Roman" w:eastAsia="Times New Roman" w:hAnsi="Times New Roman"/>
                <w:sz w:val="18"/>
                <w:szCs w:val="18"/>
                <w:color w:val="auto"/>
                <w:w w:val="99"/>
              </w:rPr>
              <w:t>Fiscal Year 2026</w:t>
            </w:r>
          </w:p>
        </w:tc>
        <w:tc>
          <w:tcPr>
            <w:tcW w:w="18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2026</w:t>
            </w: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26, 2026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jc w:val="right"/>
              <w:ind w:right="3370"/>
              <w:spacing w:after="0"/>
              <w:rPr>
                <w:sz w:val="20"/>
                <w:szCs w:val="20"/>
                <w:color w:val="auto"/>
              </w:rPr>
            </w:pPr>
            <w:r>
              <w:rPr>
                <w:rFonts w:ascii="Times New Roman" w:cs="Times New Roman" w:eastAsia="Times New Roman" w:hAnsi="Times New Roman"/>
                <w:sz w:val="18"/>
                <w:szCs w:val="18"/>
                <w:color w:val="auto"/>
                <w:w w:val="99"/>
              </w:rPr>
              <w:t>Fiscal Year 2025</w:t>
            </w:r>
          </w:p>
        </w:tc>
        <w:tc>
          <w:tcPr>
            <w:tcW w:w="18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13, 2025</w:t>
            </w: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27, 2025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15, 2025</w:t>
            </w:r>
          </w:p>
        </w:tc>
        <w:tc>
          <w:tcPr>
            <w:tcW w:w="1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29, 2025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21, 2025</w:t>
            </w: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4, 2025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20, 2025</w:t>
            </w:r>
          </w:p>
        </w:tc>
        <w:tc>
          <w:tcPr>
            <w:tcW w:w="1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4, 2025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both"/>
        <w:ind w:right="120" w:firstLine="374"/>
        <w:spacing w:after="0" w:line="282" w:lineRule="auto"/>
        <w:rPr>
          <w:sz w:val="20"/>
          <w:szCs w:val="20"/>
          <w:color w:val="auto"/>
        </w:rPr>
      </w:pPr>
      <w:r>
        <w:rPr>
          <w:rFonts w:ascii="Times New Roman" w:cs="Times New Roman" w:eastAsia="Times New Roman" w:hAnsi="Times New Roman"/>
          <w:sz w:val="18"/>
          <w:szCs w:val="18"/>
          <w:color w:val="auto"/>
        </w:rPr>
        <w:t>On April 28, 2026, the Company’s Board of Directors approved a quarterly cash dividend on its common stock of $0.25 per share payable on June 4, 2026, to stockholders of record at the close of business on May 21,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right="440" w:firstLine="37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manufacturing, and distribution, as well as automobiles and printing equipment. As of March 31, 2026, the Company had the following building and facility leases capitalized on the balance sheet: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Location (leases)</w:t>
            </w:r>
          </w:p>
        </w:tc>
        <w:tc>
          <w:tcPr>
            <w:tcW w:w="200" w:type="dxa"/>
            <w:vAlign w:val="bottom"/>
          </w:tcPr>
          <w:p>
            <w:pPr>
              <w:spacing w:after="0"/>
              <w:rPr>
                <w:sz w:val="20"/>
                <w:szCs w:val="20"/>
                <w:color w:val="auto"/>
              </w:rPr>
            </w:pPr>
          </w:p>
        </w:tc>
        <w:tc>
          <w:tcPr>
            <w:tcW w:w="4900" w:type="dxa"/>
            <w:vAlign w:val="bottom"/>
            <w:tcBorders>
              <w:bottom w:val="single" w:sz="8" w:color="auto"/>
            </w:tcBorders>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0" w:type="dxa"/>
            <w:vAlign w:val="bottom"/>
          </w:tcPr>
          <w:p>
            <w:pPr>
              <w:spacing w:after="0"/>
              <w:rPr>
                <w:sz w:val="20"/>
                <w:szCs w:val="20"/>
                <w:color w:val="auto"/>
              </w:rPr>
            </w:pPr>
          </w:p>
        </w:tc>
        <w:tc>
          <w:tcPr>
            <w:tcW w:w="2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0"/>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Vaughan, Canada</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 sales office and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2026</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Fox River Grove, IL (2)</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RestoreFlow allografts business</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2026</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North Brunswick, NJ</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Artegraft biologic business</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2029</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Burlington, MA (2)</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Corporate headquarters and US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2030</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Billerica, MA</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2032</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Burlington, MA (4)</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Corporate headquarters and manufacturing</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2034</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tc>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Milan, Italy</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Italy sales office and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2027</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Madrid, Spain</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 sales office and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2029</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Hereford, England</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United Kingdom sales office and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2029</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Maisons-Alfort, France</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 sales office and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2030</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Glattbrugg, Switzerland</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Switzerland sales office and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2030</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Dublin, Ireland</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 sales office and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2030</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Sulzbach, Germany</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European headquarters and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2031</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Bangkok, Thailand</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Thailand sales office and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2026</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Seoul, Korea</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Korea sales office and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2027</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Tokyo, Japan</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Japan sales office and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2027</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Shanghai, China</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 sales office and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2027</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Asia Pacific headquarters and distribution</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2028</w:t>
            </w:r>
          </w:p>
        </w:tc>
      </w:tr>
      <w:tr>
        <w:trPr>
          <w:trHeight w:val="216"/>
        </w:trPr>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Docklands, Australia</w:t>
            </w:r>
          </w:p>
        </w:tc>
        <w:tc>
          <w:tcPr>
            <w:tcW w:w="20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 sales office and distribution</w:t>
            </w: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2030</w:t>
            </w:r>
          </w:p>
        </w:tc>
      </w:tr>
      <w:tr>
        <w:trPr>
          <w:trHeight w:val="216"/>
        </w:trPr>
        <w:tc>
          <w:tcPr>
            <w:tcW w:w="3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Ballarat, Australia</w:t>
            </w:r>
          </w:p>
        </w:tc>
        <w:tc>
          <w:tcPr>
            <w:tcW w:w="200" w:type="dxa"/>
            <w:vAlign w:val="bottom"/>
            <w:shd w:val="clear" w:color="auto" w:fill="CFF0FC"/>
          </w:tcPr>
          <w:p>
            <w:pPr>
              <w:spacing w:after="0"/>
              <w:rPr>
                <w:sz w:val="18"/>
                <w:szCs w:val="18"/>
                <w:color w:val="auto"/>
              </w:rPr>
            </w:pPr>
          </w:p>
        </w:tc>
        <w:tc>
          <w:tcPr>
            <w:tcW w:w="4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Supply facility</w:t>
            </w:r>
          </w:p>
        </w:tc>
        <w:tc>
          <w:tcPr>
            <w:tcW w:w="2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2030</w:t>
            </w:r>
          </w:p>
        </w:tc>
      </w:tr>
      <w:tr>
        <w:trPr>
          <w:trHeight w:val="648"/>
        </w:trPr>
        <w:tc>
          <w:tcPr>
            <w:tcW w:w="3700" w:type="dxa"/>
            <w:vAlign w:val="bottom"/>
          </w:tcPr>
          <w:p>
            <w:pPr>
              <w:spacing w:after="0"/>
              <w:rPr>
                <w:sz w:val="24"/>
                <w:szCs w:val="24"/>
                <w:color w:val="auto"/>
              </w:rPr>
            </w:pPr>
          </w:p>
        </w:tc>
        <w:tc>
          <w:tcPr>
            <w:tcW w:w="5100" w:type="dxa"/>
            <w:vAlign w:val="bottom"/>
            <w:gridSpan w:val="2"/>
          </w:tcPr>
          <w:p>
            <w:pPr>
              <w:jc w:val="right"/>
              <w:ind w:right="299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lease minimum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80"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None of the Company’s noncancelable lease payments include non-lease components such as maintenance contracts. The Company generally reimburses the landlord for direct operating costs associated with the leased space. The Company has no subleases, and there are no residual value guarantees associated with, or restrictive covenants imposed by, any of its leases. The Company held no assets under finance leases as of March 31, 2026. The Company elected the package of practical expedients that allow it to omit leases with initial terms of 12 months or less from its balance sheet, which the Company expenses on a straight-line basis over the life of the lease.</w:t>
      </w:r>
    </w:p>
    <w:p>
      <w:pPr>
        <w:spacing w:after="0" w:line="183"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information with respect to the Company’s leases is as follows:</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7"/>
        </w:trPr>
        <w:tc>
          <w:tcPr>
            <w:tcW w:w="6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6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6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w:t>
            </w:r>
          </w:p>
        </w:tc>
        <w:tc>
          <w:tcPr>
            <w:tcW w:w="15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9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tcPr>
          <w:p>
            <w:pPr>
              <w:spacing w:after="0"/>
              <w:rPr>
                <w:sz w:val="18"/>
                <w:szCs w:val="18"/>
                <w:color w:val="auto"/>
              </w:rPr>
            </w:pPr>
          </w:p>
        </w:tc>
        <w:tc>
          <w:tcPr>
            <w:tcW w:w="13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Pr>
          <w:p>
            <w:pPr>
              <w:spacing w:after="0"/>
              <w:rPr>
                <w:sz w:val="18"/>
                <w:szCs w:val="18"/>
                <w:color w:val="auto"/>
              </w:rPr>
            </w:pP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7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9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40" w:type="dxa"/>
            <w:vAlign w:val="bottom"/>
          </w:tcPr>
          <w:p>
            <w:pPr>
              <w:spacing w:after="0"/>
              <w:rPr>
                <w:sz w:val="18"/>
                <w:szCs w:val="18"/>
                <w:color w:val="auto"/>
              </w:rPr>
            </w:pPr>
          </w:p>
        </w:tc>
        <w:tc>
          <w:tcPr>
            <w:tcW w:w="13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8"/>
        </w:trPr>
        <w:tc>
          <w:tcPr>
            <w:tcW w:w="6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 average remaining lease term - operating</w:t>
            </w: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leases (in years)</w:t>
            </w:r>
          </w:p>
        </w:tc>
        <w:tc>
          <w:tcPr>
            <w:tcW w:w="7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20"/>
                <w:szCs w:val="20"/>
                <w:color w:val="auto"/>
              </w:rPr>
            </w:pPr>
          </w:p>
        </w:tc>
      </w:tr>
      <w:tr>
        <w:trPr>
          <w:trHeight w:val="432"/>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-856615</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-856615</wp:posOffset>
            </wp:positionV>
            <wp:extent cx="1117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As of March 31, 2026, the minimum noncancelable operating lease rental commitments with initial or remaining terms of more than one year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2031</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to net present value as of March 31, 2026</w:t>
            </w:r>
          </w:p>
        </w:tc>
        <w:tc>
          <w:tcPr>
            <w:tcW w:w="7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16"/>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Minimum noncancelable lease liability</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On January 1, 2026, the Company commenced a new building lease agreement in Billerica, Massachusetts for U.S. distribution. The 34,400 square foot building lease has a primary term through December 31, 2032 with an option to renew the primary term for one additional 24-month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Geographic Information</w:t>
      </w:r>
    </w:p>
    <w:p>
      <w:pPr>
        <w:spacing w:after="0" w:line="22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segment financial information and the approach used by the chief operating decision maker (“CODM”), the Chief Executive Officer, to evaluate performance and allocate resources. The Company considers the business to be a single operating segment engaged in the development, manufacturing, and marketing of medical devices and implants, as well as the processing and cryopreservation of human tissues for implantation in patients, all used primarily in the field of vascular surgery.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its single operating segment and decides how to allocate resources based on net income that also is reported on the consolidated statements of operations. The measure of segment assets is reported on the consolidated balance sheets as total consolidated assets.</w:t>
      </w:r>
    </w:p>
    <w:p>
      <w:pPr>
        <w:spacing w:after="0" w:line="16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single operating segment or into other parts of the entity, such as for acquisitions, dividend payments, and/or short-term marketable security investments. Net income is also used to monitor budget versus actual results, which is used in assessing performance of the segment and in establishing management’s compensation.</w:t>
      </w:r>
    </w:p>
    <w:p>
      <w:pPr>
        <w:spacing w:after="0" w:line="180"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addition to total segment net income, the CODM’s quarterly reporting package includes several highlighted expense categories that the CODM considers key strategic drivers of the Company’s long-term profitability. The following is the Company’s operating segment reconciliation of net income, including significant segment expenses: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152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FF0FC"/>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66,551</w:t>
            </w:r>
          </w:p>
        </w:tc>
        <w:tc>
          <w:tcPr>
            <w:tcW w:w="1520" w:type="dxa"/>
            <w:vAlign w:val="bottom"/>
            <w:gridSpan w:val="2"/>
            <w:shd w:val="clear" w:color="auto" w:fill="CFF0FC"/>
          </w:tcPr>
          <w:p>
            <w:pPr>
              <w:jc w:val="center"/>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2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expense</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Marketing expense</w:t>
            </w: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expense</w:t>
            </w: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information systems expense</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Process engineering expense</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Regulatory and clinical expense</w:t>
            </w: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8"/>
                <w:szCs w:val="18"/>
                <w:color w:val="auto"/>
              </w:rPr>
            </w:pPr>
          </w:p>
        </w:tc>
      </w:tr>
      <w:tr>
        <w:trPr>
          <w:trHeight w:val="25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auto"/>
            </w:tcBorders>
            <w:shd w:val="clear" w:color="auto" w:fill="CFF0FC"/>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center"/>
              <w:ind w:right="10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consolidated statement of operations for the components of other income and expense and related amounts.</w:t>
      </w:r>
    </w:p>
    <w:p>
      <w:pPr>
        <w:spacing w:after="0" w:line="225"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Most of the Company’s revenues are generated in the United States, Germany, the United Kingdom, other European countries, and Canada. Substantially all of the Company’s assets are located in the United States and Germany. Net sales to unaffiliated customers based on customer location by country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152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98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37,186</w:t>
            </w:r>
          </w:p>
        </w:tc>
        <w:tc>
          <w:tcPr>
            <w:tcW w:w="1520" w:type="dxa"/>
            <w:vAlign w:val="bottom"/>
            <w:gridSpan w:val="2"/>
            <w:shd w:val="clear" w:color="auto" w:fill="CFF0FC"/>
          </w:tcPr>
          <w:p>
            <w:pPr>
              <w:jc w:val="center"/>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7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8"/>
                <w:szCs w:val="18"/>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37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16,648</w:t>
            </w:r>
          </w:p>
        </w:tc>
        <w:tc>
          <w:tcPr>
            <w:tcW w:w="2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98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66,551</w:t>
            </w:r>
          </w:p>
        </w:tc>
        <w:tc>
          <w:tcPr>
            <w:tcW w:w="1520" w:type="dxa"/>
            <w:vAlign w:val="bottom"/>
            <w:gridSpan w:val="2"/>
            <w:shd w:val="clear" w:color="auto" w:fill="CFF0FC"/>
          </w:tcPr>
          <w:p>
            <w:pPr>
              <w:jc w:val="center"/>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100" w:type="dxa"/>
            <w:vAlign w:val="bottom"/>
            <w:shd w:val="clear" w:color="auto" w:fill="CFF0FC"/>
          </w:tcPr>
          <w:p>
            <w:pPr>
              <w:spacing w:after="0"/>
              <w:rPr>
                <w:sz w:val="22"/>
                <w:szCs w:val="22"/>
                <w:color w:val="auto"/>
              </w:rPr>
            </w:pPr>
          </w:p>
        </w:tc>
      </w:tr>
      <w:tr>
        <w:trPr>
          <w:trHeight w:val="629"/>
        </w:trPr>
        <w:tc>
          <w:tcPr>
            <w:tcW w:w="3380" w:type="dxa"/>
            <w:vAlign w:val="bottom"/>
            <w:tcBorders>
              <w:top w:val="single" w:sz="8" w:color="CFF0FC"/>
            </w:tcBorders>
          </w:tcPr>
          <w:p>
            <w:pPr>
              <w:spacing w:after="0"/>
              <w:rPr>
                <w:sz w:val="24"/>
                <w:szCs w:val="24"/>
                <w:color w:val="auto"/>
              </w:rPr>
            </w:pPr>
          </w:p>
        </w:tc>
        <w:tc>
          <w:tcPr>
            <w:tcW w:w="376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-1216660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2025, as filed with the SEC on February 26, 2026, or the 2025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this Quarterly Report on Form 10-Q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our 2025 Form 10-K,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are a global provider of medical devices and human tissue cryopreservation services largely used in the treatment of peripheral vascular disease, end-stage renal disease, and cardiovascular disease. We develop, manufacture, and market vascular devices to address the needs of vascular surgeons and, to a lesser degree, other specialties such as cardiac surgeons, general surgeons, and neurosurgeons. Our diversified portfolio of devices consists of brand name products that are used in arteries and veins and are well known to vascular surgeons. Our principal product offerings are sold globally, primarily in the United States, Europe, Canada, and Asia Pacific, or APAC. We estimate that the annual worldwide market for peripheral vascular devices exceeds $9 billion, within which we estimate that the market for our products is approximately $1 billion. We have grown our business using a three-pronged strategy:</w:t>
      </w:r>
    </w:p>
    <w:p>
      <w:pPr>
        <w:spacing w:after="0" w:line="5" w:lineRule="exact"/>
        <w:rPr>
          <w:sz w:val="20"/>
          <w:szCs w:val="20"/>
          <w:color w:val="auto"/>
        </w:rPr>
      </w:pPr>
    </w:p>
    <w:p>
      <w:pPr>
        <w:ind w:right="160" w:firstLine="8"/>
        <w:spacing w:after="0" w:line="255"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 focused call point, 2) competing for sales of low-rivalry, niche products, and 3) expanding our worldwide direct sales force while acquiring complementary devices. We have used acquisitions as a primary means of further penetrating the peripheral vascular device market, and we expect to continue this strategy in the future. We currently manufacture most of our products in our Burlington, Massachusetts headquarters.</w:t>
      </w:r>
    </w:p>
    <w:p>
      <w:pPr>
        <w:spacing w:after="0" w:line="186"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products and services are used primarily by vascular surgeons who treat peripheral vascular disease through both open surgical methods and endovascular techniques. In contrast to interventional cardiologists and interventional radiologists, vascular surgeons can perform both open surgical and minimally invasive endovascular procedures, and therefore can provide a wider range of treatment options to their patients. Recently we have also begun to explore adjacent market customers, such as cardiac surgeons and interventional cardiologists.</w:t>
      </w:r>
    </w:p>
    <w:p>
      <w:pPr>
        <w:spacing w:after="0" w:line="180" w:lineRule="exact"/>
        <w:rPr>
          <w:sz w:val="20"/>
          <w:szCs w:val="20"/>
          <w:color w:val="auto"/>
        </w:rPr>
      </w:pPr>
    </w:p>
    <w:p>
      <w:pPr>
        <w:jc w:val="both"/>
        <w:ind w:right="420" w:firstLine="374"/>
        <w:spacing w:after="0" w:line="266" w:lineRule="auto"/>
        <w:rPr>
          <w:sz w:val="20"/>
          <w:szCs w:val="20"/>
          <w:color w:val="auto"/>
        </w:rPr>
      </w:pPr>
      <w:r>
        <w:rPr>
          <w:rFonts w:ascii="Times New Roman" w:cs="Times New Roman" w:eastAsia="Times New Roman" w:hAnsi="Times New Roman"/>
          <w:sz w:val="18"/>
          <w:szCs w:val="18"/>
          <w:color w:val="auto"/>
        </w:rPr>
        <w:t>Our principal product lines include the following: anastomotic clips, biologic vascular and dialysis grafts, biologic vascular and cardiac patches, carotid shunts, embolectomy and occlusion catheters, radiopaque marking tape, synthetic vascular and dialysis grafts, and valvulotomes. Through our RestoreFlow allografts business, we also process and cryopreserve human vascular and cardiac tissue.</w:t>
      </w:r>
    </w:p>
    <w:p>
      <w:pPr>
        <w:spacing w:after="0" w:line="176"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Our principal biologic offerings include vascular and cardiac patches as well as vascular and dialysis grafts. In Q1 2026, biologics represented 53% of our worldwide sales. We believe our biologic devices represent differentiated and, in many cases, growing product segments.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business opportunities include the following:</w:t>
      </w:r>
    </w:p>
    <w:p>
      <w:pPr>
        <w:spacing w:after="0" w:line="11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 sales force in North America, Europe, and APAC, including replacing distributors with our direct sales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average selling prices of our devices;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our products into new territories upon receipt of regulatory approvals or registrations;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complementary products and the transition of distributor sales to LeMaitre;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existing products and introducing new products through research and development;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product manufacturing into our Burlington, Massachusetts facilities.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9" w:name="page20"/>
    <w:bookmarkEnd w:id="19"/>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We sell our products and services primarily through a direct sales force. Our worldwide headquarters is located in Burlington, Massachusetts, and we also have a North American sales office in Vaughan, Canada. Our European headquarters is located in Sulzbach, Germany, and we also have European sales offices in Milan, Italy; Madrid, Spain; Hereford, England; Dublin, Ireland; Maisons-Alfort, France; and Glattbrugg, Switzerland. Our APAC headquarters is located in Singapore, and we also have APAC sales offices in Tokyo, Japan; Shanghai, China; Docklands, Australia; Seoul, Korea; and Bangkok, Thailand. During the quarter ended March 31, 2026, approximately 96% of our net sales were generated in territories in which we employ direct sales representatives. We sell our products in other countries through distributors. As of March 31, 2026, our sales force comprised 158 sales representatives and export managers in North America, Europe, and APAC.</w:t>
      </w:r>
    </w:p>
    <w:p>
      <w:pPr>
        <w:spacing w:after="0" w:line="189"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success in lower-rivalry niche segments. In the valvulotome market, for example, our differentiated devices have historically allowed us to increase average selling prices without incurring significant unit share loss. In contrast, we have experienced less success in competitive markets such as the polyester vascular graft market, where we face competition from larger companies with greater resources and lower per unit costs.</w:t>
      </w:r>
    </w:p>
    <w:p>
      <w:pPr>
        <w:spacing w:after="0" w:line="180" w:lineRule="exact"/>
        <w:rPr>
          <w:sz w:val="20"/>
          <w:szCs w:val="20"/>
          <w:color w:val="auto"/>
        </w:rPr>
      </w:pPr>
    </w:p>
    <w:p>
      <w:pPr>
        <w:jc w:val="both"/>
        <w:ind w:right="500" w:firstLine="374"/>
        <w:spacing w:after="0" w:line="266" w:lineRule="auto"/>
        <w:rPr>
          <w:sz w:val="20"/>
          <w:szCs w:val="20"/>
          <w:color w:val="auto"/>
        </w:rPr>
      </w:pPr>
      <w:r>
        <w:rPr>
          <w:rFonts w:ascii="Times New Roman" w:cs="Times New Roman" w:eastAsia="Times New Roman" w:hAnsi="Times New Roman"/>
          <w:sz w:val="18"/>
          <w:szCs w:val="18"/>
          <w:color w:val="auto"/>
        </w:rPr>
        <w:t>We have also experienced success in international markets, such as Europe, where we have a significant sales force, and sometimes offer lower average selling prices than in North America. If we continue to seek growth opportunities outside of North America, we may experience downward pressure on our gross margin.</w:t>
      </w:r>
    </w:p>
    <w:p>
      <w:pPr>
        <w:spacing w:after="0" w:line="176"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obtain regulatory approvals for our devices and services in new product categories and geographies to further access the broader peripheral device market and selected other markets, thus extending our geographic reach. Recent approvals include clearance to sell the Artegraft bovine graft in the European Union (EU) in April 2025, Australia in June 2025, and Canada in December 2025, the Pruitt Aortic Occlusion Catheter in the EU in May 2025, and the Pruitt Occlusion Catheter in China in June 2025.</w:t>
      </w:r>
    </w:p>
    <w:p>
      <w:pPr>
        <w:spacing w:after="0" w:line="180"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Separately, our regulatory efforts to maintain approvals in the EU and the United Kingdom (UK) have succeeded ahead of the full EU transition from the Medical Device Directive (MDD) to the Medical Device Regulation (MDR) and the UK transition to the United Kingdom Conformity Assessed (UKCA) mark. As of April 10, 2026, we have 22 MDR CE marks and 22 UKCA which represent substantially all of our product approvals in the EU and UK. The European Commission has designated the end of 2028 as the final MDR CE mark transition deadline.</w:t>
      </w:r>
    </w:p>
    <w:p>
      <w:pPr>
        <w:spacing w:after="0" w:line="180"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Additionally, we provide cryopreservation services for our Restoreflow allografts primarily in the US, UK, and Canada. In October 2025, we received approval from the German authority on tissue banking to allow provision of these services in the German market.</w:t>
      </w:r>
    </w:p>
    <w:p>
      <w:pPr>
        <w:spacing w:after="0" w:line="162"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Our strategy for growing our business includes acquisitions of complementary product lines and companies, which can be difficult to identify, negotiate, and purchase. There can be no assurance that we will be able to do so in the future.</w:t>
      </w:r>
    </w:p>
    <w:p>
      <w:pPr>
        <w:spacing w:after="0" w:line="54" w:lineRule="exact"/>
        <w:rPr>
          <w:sz w:val="20"/>
          <w:szCs w:val="20"/>
          <w:color w:val="auto"/>
        </w:rPr>
      </w:pPr>
    </w:p>
    <w:p>
      <w:pPr>
        <w:jc w:val="both"/>
        <w:ind w:left="760" w:right="320" w:hanging="378"/>
        <w:spacing w:after="0" w:line="312"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2025, we entered into an agreement with Andramed GmbH to purchase the assets of their AndraValvulotome business for $1.8 million plus additional payments of up to $0.8 million, contingent upon the passage of time and, separately, receipt of a regulatory approval.</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Occasionally we discontinue or divest products that are no longer complementary to our business or not commercially viable.</w:t>
      </w:r>
    </w:p>
    <w:p>
      <w:pPr>
        <w:spacing w:after="0" w:line="117" w:lineRule="exact"/>
        <w:rPr>
          <w:sz w:val="20"/>
          <w:szCs w:val="20"/>
          <w:color w:val="auto"/>
        </w:rPr>
      </w:pPr>
    </w:p>
    <w:p>
      <w:pPr>
        <w:ind w:left="760" w:right="10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made the decision to terminate our cardiovascular porcine patch distribution agreement with Elutia. Previously, in April 2023, we had entered into an agreement with Elutia to become the exclusive U.S. distributor of their cardiovascular porcine patches. Under the agreement, we could distribute the products for three years with an option to acquire Elutia’s worldwide cardiovascular porcine patch business during the second and third years of the agreement. This product totaled approximately $1.8 million in 2025 revenues.</w:t>
      </w:r>
    </w:p>
    <w:p>
      <w:pPr>
        <w:spacing w:after="0" w:line="7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made the decision to wind down the CardioCel 3D and DuraSure product lines. These product lines totaled approximately $0.5 million in 2025 revenues.</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made the decision to wind down the AnastoClip AC Closure System in North America. This product totaled approximately $0.7 million in 2025 revenues.</w:t>
      </w:r>
    </w:p>
    <w:p>
      <w:pPr>
        <w:spacing w:after="0" w:line="162"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From time to time we may undertake SKU reductions and attempt to transition sales to other SKUs or products with similar features. Any of these actions may result in inventory write-offs and temporary or permanent negative impacts to our sales, gross margin, and customer relationships.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0" w:name="page21"/>
    <w:bookmarkEnd w:id="20"/>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Because we believe that direct-to-hospital sales engender closer customer relationships, and allow for higher selling prices and gross margins through elimination of an intermediary, we periodically enter into transactions with country-specific distributors to transition their sales of our medical devices into our direct sales organization:</w:t>
      </w:r>
    </w:p>
    <w:p>
      <w:pPr>
        <w:spacing w:after="0" w:line="68" w:lineRule="exact"/>
        <w:rPr>
          <w:sz w:val="20"/>
          <w:szCs w:val="20"/>
          <w:color w:val="auto"/>
        </w:rPr>
      </w:pPr>
    </w:p>
    <w:p>
      <w:pPr>
        <w:ind w:left="760" w:right="4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entered into a distribution transition agreement with our Portuguese distributor to sell products directly in Portugal and dissolve the existing distribution arrangement. We have been selling direct-to-hospitals in Portugal since May 2025. The distribution termination fees are expected to total approximately $0.2 million.</w:t>
      </w:r>
    </w:p>
    <w:p>
      <w:pPr>
        <w:spacing w:after="0" w:line="67"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entered into a distribution transition agreement with our Czech distributor to sell products directly in Czechia and dissolve the existing distribution arrangement. We have been selling direct-to-hospitals in Czechia since July 2025. The distribution termination fees are expected to total approximately $0.1 million.</w:t>
      </w:r>
    </w:p>
    <w:p>
      <w:pPr>
        <w:spacing w:after="0" w:line="6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we entered into a distribution transition agreement with AngioPro GmbH, the distributor of the AndraValvulotome in Germany, Switzerland, Austria, and the UK. The distribution termination is effective April 1, 2026 and termination fees are expected to total approximately $0.2 million.</w:t>
      </w:r>
    </w:p>
    <w:p>
      <w:pPr>
        <w:spacing w:after="0" w:line="176"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In addition to our sales growth strategies, we have also executed several operational initiatives designed to consolidate manufacturing into our Burlington facilities. We expect these plant consolidations and manufacturing transfers will result in improved control over production quality as well as reduced costs. Our most recent manufacturing transfers are:</w:t>
      </w:r>
    </w:p>
    <w:p>
      <w:pPr>
        <w:spacing w:after="0" w:line="68" w:lineRule="exact"/>
        <w:rPr>
          <w:sz w:val="20"/>
          <w:szCs w:val="20"/>
          <w:color w:val="auto"/>
        </w:rPr>
      </w:pPr>
    </w:p>
    <w:p>
      <w:pPr>
        <w:ind w:left="760" w:right="12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we acquired the CardioCel and VascuCel biologic patch businesses from Anteris. The transfer to Burlington was substantially completed in 2023. In June 2023, the MDR CE mark application for these Burlington-produced devices was submitted, and we obtained approval in January 2025, allowing for distribution of these patches in the EU. We began distributing these Burlington-produced patches in the United States, Canada, and select APAC markets in 2024.</w:t>
      </w:r>
    </w:p>
    <w:p>
      <w:pPr>
        <w:spacing w:after="0" w:line="7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announced the transition of our allograft tissue processing from our Fox River Grove facility to Burlington. This transition is expected to be substantially complete by the end of 2026.</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execution of these initiatives may affect the comparability of our financial results and may cause fluctuations from period to period.</w:t>
      </w:r>
    </w:p>
    <w:p>
      <w:pPr>
        <w:spacing w:after="0" w:line="225"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February 2024, we began implementing a new enterprise resource planning, or ERP, system to replace our financial reporting and planning system. In the United States, we transitioned from our legacy ERP system to our newly implemented Microsoft Dynamics D365 system in February 2024. In February 2025, we implemented this new system in the UK. We intend to continue rolling out the new system in our other international locations on a staged basis. The new ERP system has been beneficial in a number of areas, including inventory management, pricing programs, financial operations and real-time reporting. As of March 31, 2026, we have net capitalized costs on our balance sheet of $4.6 million associated with this ERP system.</w:t>
      </w:r>
    </w:p>
    <w:p>
      <w:pPr>
        <w:spacing w:after="0" w:line="18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Fluctuations in the exchange rates between the U.S. dollar and foreign currencies, primarily the Euro, affect our financial results. For the three months ended March 31, 2026, approximately 44% of our sales took place outside of the United States, largely in currencies other than the U.S. dollar. We expect foreign currencies will represent a significant percentage of future sales. Selling, marketing, and administrative costs related to these sales are also denominated in foreign currencies, thereby partially mitigating our bottom-line exposure to exchange rate fluctuations. If there is an increase in the rate at which a foreign currency is exchanged for U.S. dollars, it will require less of the foreign currency to equal a specified amount of U.S. dollars than before the rate increase. In such cases we will record more revenue in U.S. dollars than we would have if the exchange rate had not changed. For the three months ended March 31, 2026, we estimate that the effects of changes in foreign exchange rates increased our reported sales by approximately $2.0 million, as compared to rates in effect for the three months ended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Expense Components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description of the primary components of our net sales and expenses:</w:t>
      </w:r>
    </w:p>
    <w:p>
      <w:pPr>
        <w:spacing w:after="0" w:line="221" w:lineRule="exact"/>
        <w:rPr>
          <w:sz w:val="20"/>
          <w:szCs w:val="20"/>
          <w:color w:val="auto"/>
        </w:rPr>
      </w:pPr>
    </w:p>
    <w:p>
      <w:pPr>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We derive our net sales from the sale of our products and services, less discounts and returns. Net sales include the shipping and 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paid for by our customers. Most of our sales are generated by our direct sales force and are shipped and billed to hospitals or clinics globally. In countries where we do not have a direct sales force, sales are primarily to distributors, who in turn sell to hospitals and clinics. In limited cases our products are held on consignment at a hospital or clinic prior to purchase; in those instances we recognize revenue at the time the product is used in surgery rather than at shipment.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ind w:right="22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We manufacture the majority of the products that we sell. Our cost of sales consists primarily of manufacturing personnel wages, raw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materials and components, depreciation of property and equipment, and other allocated manufacturing overhead, including an allocation of our quality department expenses. Additionally, cost of sales includes the freight expenses we pay to ship products to customers, inventory scrap charges, and excess and obsolescence expenses.</w:t>
      </w:r>
    </w:p>
    <w:p>
      <w:pPr>
        <w:spacing w:after="0" w:line="176" w:lineRule="exact"/>
        <w:rPr>
          <w:sz w:val="20"/>
          <w:szCs w:val="20"/>
          <w:color w:val="auto"/>
        </w:rPr>
      </w:pPr>
    </w:p>
    <w:p>
      <w:pPr>
        <w:ind w:right="8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salaries, commissions, contests, stock-based compensation, travel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entertainment, sales meetings, attendance at vascular and cardiac congresses, training programs, advertising and product promotions, direct mail, and other marketing costs. Additionally, sales and marketing expense includes customer service department personnel charges.</w:t>
      </w:r>
    </w:p>
    <w:p>
      <w:pPr>
        <w:spacing w:after="0" w:line="171" w:lineRule="exact"/>
        <w:rPr>
          <w:sz w:val="20"/>
          <w:szCs w:val="20"/>
          <w:color w:val="auto"/>
        </w:rPr>
      </w:pPr>
    </w:p>
    <w:p>
      <w:pPr>
        <w:ind w:right="26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executive, finance and human resource salaries,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legal and accounting fees, information technology expense, intangible asset amortization expense, and insurance expense.</w:t>
      </w:r>
    </w:p>
    <w:p>
      <w:pPr>
        <w:spacing w:after="0" w:line="155" w:lineRule="exact"/>
        <w:rPr>
          <w:sz w:val="20"/>
          <w:szCs w:val="20"/>
          <w:color w:val="auto"/>
        </w:rPr>
      </w:pPr>
    </w:p>
    <w:p>
      <w:pPr>
        <w:ind w:right="2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primarily includes costs associated with obtaining and maintaining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our products, salaries, laboratory testing, and supply costs. It also includes costs associated with the design and execution of clinical studies and costs to transfer the manufacturing of acquired product lines to our Burlington facility. Additionally, research and development expense includes costs associated with the design, development, testing, and enhancement of new or existing products.</w:t>
      </w:r>
    </w:p>
    <w:p>
      <w:pPr>
        <w:spacing w:after="0" w:line="176" w:lineRule="exact"/>
        <w:rPr>
          <w:sz w:val="20"/>
          <w:szCs w:val="20"/>
          <w:color w:val="auto"/>
        </w:rPr>
      </w:pPr>
    </w:p>
    <w:p>
      <w:pPr>
        <w:jc w:val="both"/>
        <w:ind w:right="24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Other income (expense) primarily includes interest and dividend income, realized gains (losses) from the sale of debt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investments, unrealized gains (losses) from equity investments, interest expense for the Senior Convertible Notes, foreign currency gains (losses), and other miscellaneous gains (losses).</w:t>
      </w:r>
    </w:p>
    <w:p>
      <w:pPr>
        <w:spacing w:after="0" w:line="171" w:lineRule="exact"/>
        <w:rPr>
          <w:sz w:val="20"/>
          <w:szCs w:val="20"/>
          <w:color w:val="auto"/>
        </w:rPr>
      </w:pPr>
    </w:p>
    <w:p>
      <w:pPr>
        <w:ind w:right="22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are subject to federal and state income taxes for earnings generated in the United States, which include operating losses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in certain foreign jurisdictions for certain years depending on tax elections made, and foreign taxes on earnings of our wholly-owned foreign subsidiaries. Our consolidated tax expense is affected by the mix of our taxable income (loss) in the United States and foreign subsidiaries, permanent items, discrete items, unrecognized tax benefits, and amortization of goodwill for U.S. tax reporting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 period ended March 31, 2026, to the three month period ended March 31, 2025:</w:t>
      </w:r>
    </w:p>
    <w:p>
      <w:pPr>
        <w:spacing w:after="0" w:line="229"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net sales by geography and the change between the specified periods expressed as a percentage increase or decrease: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sales by geography: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1" w:lineRule="exact"/>
        <w:rPr>
          <w:sz w:val="20"/>
          <w:szCs w:val="20"/>
          <w:color w:val="auto"/>
        </w:rPr>
      </w:pPr>
    </w:p>
    <w:p>
      <w:pPr>
        <w:ind w:right="40"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increased by $6.7 million, or 11%, to $66.6 million for the three months ended March 31, 2026, compared to $59.9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The increase was driven primarily by higher average selling prices, higher unit volumes shipped to customers, and the European launch of Artegraft in the second half of 2025. Graft sales increased $4.1 million, valvulotome sales increased $1.6 million, and shunt sales increased $0.7 million. We estimate that the weaker U.S. dollar increased net sales by $2.0 million during the three months ended March 31, 2026, as compared to the three months ended March 31, 2025.</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Direct-to-hospital net sales were 96% and 94% of our total net sales for the three months ended March 31, 2026 and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right="40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by geography. </w:t>
      </w:r>
      <w:r>
        <w:rPr>
          <w:rFonts w:ascii="Times New Roman" w:cs="Times New Roman" w:eastAsia="Times New Roman" w:hAnsi="Times New Roman"/>
          <w:sz w:val="18"/>
          <w:szCs w:val="18"/>
          <w:color w:val="auto"/>
        </w:rPr>
        <w:t>Net sales in the Americas increased $2.6 million, or 7%, for the three months ended March 31, 2026, as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The increase was driven primarily by increased sales of grafts of $3.0 million, valvulotomes of $0.5 million, and catheters of $0.1 million, offset by decreased sales of patches of $1.4 million due to the termination of our cardiovascular porcine patch distribution agreement with Elutia in 2025.</w:t>
      </w:r>
    </w:p>
    <w:p>
      <w:pPr>
        <w:spacing w:after="0" w:line="180"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Europe, Middle East, and Africa, or EMEA, net sales increased $3.3 million, or 20%, for the three months ended March 31, 2026, as compared to the three months ended March 31, 2025. The increase was driven primarily by increased sales of grafts and valvulotomes of $1.0 million each, shunts of $0.5 million, and patches of $0.4 million.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APAC net sales increased $0.7 million, or 18%, for the three months ended March 31, 2026, as compared to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driven primarily by increased sales of clips and patches of $0.2 million each and shunts and grafts of $0.1 million each.</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The following table sets forth the change in our gross profit and gross margin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8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Pr>
          <w:p>
            <w:pPr>
              <w:spacing w:after="0"/>
              <w:rPr>
                <w:sz w:val="20"/>
                <w:szCs w:val="20"/>
                <w:color w:val="auto"/>
              </w:rPr>
            </w:pPr>
          </w:p>
        </w:tc>
        <w:tc>
          <w:tcPr>
            <w:tcW w:w="1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5"/>
              </w:rPr>
              <w:t>thousands)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41,420</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3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380" w:type="dxa"/>
            <w:vAlign w:val="bottom"/>
          </w:tcPr>
          <w:p>
            <w:pPr>
              <w:spacing w:after="0"/>
              <w:rPr>
                <w:sz w:val="20"/>
                <w:szCs w:val="20"/>
                <w:color w:val="auto"/>
              </w:rPr>
            </w:pP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69.2%</w:t>
            </w:r>
          </w:p>
        </w:tc>
        <w:tc>
          <w:tcPr>
            <w:tcW w:w="4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applicable</w:t>
      </w:r>
    </w:p>
    <w:p>
      <w:pPr>
        <w:spacing w:after="0" w:line="225"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Gross profit increased $7.0 million, or 17%, to $48.4 million for the three months ended March 31, 2026, as compared to $41.4 million for the three months ended March 31, 2025, and gross margin increased by 350 basis points to 72.7% in the period, as compared to 69.2% for the three months ended March 31, 2025. The increase in gross profit was driven primarily by increased sales, particularly from grafts, valvulotomes, and shunts. The increase in gross margin was driven primarily by sales price increases, greater manufacturing efficiencies, and favorable product mix, including decreased sales of comparatively lower margin porcine patches due to the decision to end our distribution agreement with Elutia. The increase was partially offset by higher scrap and excess and obsolescence charges during the period.</w:t>
      </w:r>
    </w:p>
    <w:p>
      <w:pPr>
        <w:spacing w:after="0" w:line="183" w:lineRule="exact"/>
        <w:rPr>
          <w:sz w:val="20"/>
          <w:szCs w:val="20"/>
          <w:color w:val="auto"/>
        </w:rPr>
      </w:pPr>
    </w:p>
    <w:p>
      <w:pPr>
        <w:ind w:right="10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following tables set forth changes in our operating expenses for the periods indicated and the change between the specified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periods expressed as a percentage increase or decrease: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2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8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210"/>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1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14,515</w:t>
            </w:r>
          </w:p>
        </w:tc>
        <w:tc>
          <w:tcPr>
            <w:tcW w:w="13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1500" w:type="dxa"/>
            <w:vAlign w:val="bottom"/>
            <w:gridSpan w:val="2"/>
            <w:shd w:val="clear" w:color="auto" w:fill="CFF0FC"/>
          </w:tcPr>
          <w:p>
            <w:pPr>
              <w:jc w:val="center"/>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1,559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4,060</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7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30,621</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1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1,827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40"/>
        </w:trPr>
        <w:tc>
          <w:tcPr>
            <w:tcW w:w="2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2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46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-1439545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-1439545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-1439545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-1439545</wp:posOffset>
            </wp:positionV>
            <wp:extent cx="1454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1" w:lineRule="exact"/>
        <w:rPr>
          <w:sz w:val="20"/>
          <w:szCs w:val="20"/>
          <w:color w:val="auto"/>
        </w:rPr>
      </w:pPr>
    </w:p>
    <w:p>
      <w:pPr>
        <w:ind w:right="34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March 31, 2026, sales and marketing expenses increased 2% to $14.5 million. The increase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primarily by higher sales representative headcount and wage increases, which resulted in increased compensation and related expenses of $0.6 million, partially offset by decreased general supplies expenses of $0.3 million. Sales force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ind w:right="340"/>
        <w:spacing w:after="0" w:line="282" w:lineRule="auto"/>
        <w:rPr>
          <w:sz w:val="20"/>
          <w:szCs w:val="20"/>
          <w:color w:val="auto"/>
        </w:rPr>
      </w:pPr>
      <w:r>
        <w:rPr>
          <w:rFonts w:ascii="Times New Roman" w:cs="Times New Roman" w:eastAsia="Times New Roman" w:hAnsi="Times New Roman"/>
          <w:sz w:val="18"/>
          <w:szCs w:val="18"/>
          <w:color w:val="auto"/>
        </w:rPr>
        <w:t>headcount was 158 as of March 31, 2026, a 3% increase from March 31, 2025. As a percentage of net sales, sales and marketing expenses decreased to 22% for the three months ended March 31, 2025, down from 24% for the three months ended March 31, 2025.</w:t>
      </w:r>
    </w:p>
    <w:p>
      <w:pPr>
        <w:spacing w:after="0" w:line="158" w:lineRule="exact"/>
        <w:rPr>
          <w:sz w:val="20"/>
          <w:szCs w:val="20"/>
          <w:color w:val="auto"/>
        </w:rPr>
      </w:pPr>
    </w:p>
    <w:p>
      <w:pPr>
        <w:ind w:right="20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For the three months ended March 31, 2026, general and administrative expenses increased 15% to $12.0 million.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driven primarily by higher headcount and wage increases, which resulted in increased compensation and related expenses of $0.8 million. General supplies increased $0.4 million and professional fees and outside services increased $0.3 million. As a percentage of net sales, general and administrative expenses remained consistent at 18% for the three months ended March 31, 2026 and 2025, respectively.</w:t>
      </w:r>
    </w:p>
    <w:p>
      <w:pPr>
        <w:spacing w:after="0" w:line="176" w:lineRule="exact"/>
        <w:rPr>
          <w:sz w:val="20"/>
          <w:szCs w:val="20"/>
          <w:color w:val="auto"/>
        </w:rPr>
      </w:pPr>
    </w:p>
    <w:p>
      <w:pPr>
        <w:ind w:right="80"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For the three months ended March 31, 2026, research and development expenses decreased 1% to $4.1 million.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driven primarily by lower third-party service fees, which resulted in decreased professional fees and outside services expenses related to MDR related activities of $0.4 million, partially offset by general supplies increased $0.2 million and compensation and related expenses increased $0.1 million. As a percentage of net sales, research and development expenses decreased to 6% for the three months ended March 31, 2026, down from 7% for the three months ended March 31, 2025.</w:t>
      </w:r>
    </w:p>
    <w:p>
      <w:pPr>
        <w:spacing w:after="0" w:line="179" w:lineRule="exact"/>
        <w:rPr>
          <w:sz w:val="20"/>
          <w:szCs w:val="20"/>
          <w:color w:val="auto"/>
        </w:rPr>
      </w:pPr>
    </w:p>
    <w:p>
      <w:pPr>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a tax provision of $4.0 million on pre-tax income of $19.7 million for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a $3.2 million tax provision on pre-tax income of $14.2 million for the three months ended March 31, 2025. Our effective income tax rate was 20.3% for the three month period ended March 31, 2026. Our tax expense for the current period is based on an estimated annual effective tax rate of 22.9%, adjusted in the applicable quarterly periods for discrete stock option exercises and other discrete items. Our income tax expense for the current period varies from the statutory rate mainly due to the generation of federal and state tax credits, permanent items, different statutory rates from our foreign entities, and a discrete item for stock option exercises.</w:t>
      </w:r>
    </w:p>
    <w:p>
      <w:pPr>
        <w:spacing w:after="0" w:line="186"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22.7% for the three month period ended March 31, 2025. Our 2025 provision was based on the estimated annual effective tax rate of 23.8%, adjusted in the applicable quarterly period for discrete stock option exercises and other discrete items. Our income tax expense for the three month period ended March 31, 2025 varied from the statutory rate mainly due to the generation of federal and state tax credits, permanent items, different statutory rates from our foreign entities, and a discrete item for stock option exercises.</w:t>
      </w:r>
    </w:p>
    <w:p>
      <w:pPr>
        <w:spacing w:after="0" w:line="180"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We monitor the mix of profitability by tax jurisdiction and adjust our annual expected rate on a quarterly basis as needed. While it is often difficult to predict the final outcome or timing of the resolution for any particular tax matter, we believe our tax reserves reflect the probable outcome of known contingencies.</w:t>
      </w:r>
    </w:p>
    <w:p>
      <w:pPr>
        <w:spacing w:after="0" w:line="176"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We assess the likelihood that our deferred tax assets will be realized through future taxable income and record a valuation allowance to reduce gross deferred tax assets to an amount that we believe is more likely than not to be realized. As of March 31, 2026, we have provided a valuation allowance of $1.7 million for deferred tax assets primarily related to Australian net operating loss and capital loss carry forwards and Massachusetts tax credit carry forwards that are not expected to be realized.</w:t>
      </w:r>
    </w:p>
    <w:p>
      <w:pPr>
        <w:spacing w:after="0" w:line="180"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On July 4, 2025, President Donald Trump signed the One Big Beautiful Bill Act ("OBBBA") into law. Key corporate tax provisions include the restoration of 100% bonus depreciation for qualifying assets, immediate expensing for domestic research and experimental expenditures, changes to Section 163(j) interest limitations, updates to GILTI and FDII rules, amendments to energy credits, and expanded Section 162(m) aggregation requirements. The impact of these adjustments is reflected in our tax provision and financial statements for the three months ended March 31, 2026. We will continue to monitor future legislative developments and assess their impact on our tax position and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of March 31, 2026, our cash and cash equivalents were $26.9 million, as compared to $28.2 million as of December 31, 2025. We had $340.4 million in short-term marketable securities as of March 31, 2026, as compared to $330.9 million as of December 31, 2025. Our cash and cash equivalents are bank deposits and liquid investments with maturities of 90 days or less at the date of purchase held in our operating bank accounts. Our short-term marketable securities primarily include corporate debt securities, U.S. government agency securities, and money market investments with maturities of 90 days or less at the date of purchase held outside of our operating bank accounts. liquid investments with maturities of 90 days or less at the date of purchase and consist primarily of operating bank accounts. As of March 31, 2026, our short-term marketable securities reflected an unrealized loss of $0.9 million as a result of market interest rates.</w:t>
      </w:r>
    </w:p>
    <w:p>
      <w:pPr>
        <w:spacing w:after="0" w:line="189" w:lineRule="exact"/>
        <w:rPr>
          <w:sz w:val="20"/>
          <w:szCs w:val="20"/>
          <w:color w:val="auto"/>
        </w:rPr>
      </w:pPr>
    </w:p>
    <w:p>
      <w:pPr>
        <w:jc w:val="both"/>
        <w:ind w:right="280" w:firstLine="374"/>
        <w:spacing w:after="0" w:line="266" w:lineRule="auto"/>
        <w:rPr>
          <w:sz w:val="20"/>
          <w:szCs w:val="20"/>
          <w:color w:val="auto"/>
        </w:rPr>
      </w:pPr>
      <w:r>
        <w:rPr>
          <w:rFonts w:ascii="Times New Roman" w:cs="Times New Roman" w:eastAsia="Times New Roman" w:hAnsi="Times New Roman"/>
          <w:sz w:val="18"/>
          <w:szCs w:val="18"/>
          <w:color w:val="auto"/>
        </w:rPr>
        <w:t>On February 19, 2026, our Board of Directors authorized the repurchase of up to $100.0 million of our common stock through transactions on the open market, in privately negotiated purchases, or otherwise until February 18, 2027. The repurchase program may be suspended or discontinued at any time. To date we have not made any repurchases under this or any prior program.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On December 19, 2024, we issued $172.5 million aggregate principal amount of convertible senior notes due 2030, or the Senior Convertible Notes, in a Rule 144A private placement to qualified institutional buyers pursuant to an indenture dated December 19, 2024, by and between us and U.S. Bank Trust Company, National Association, or the Indenture.</w:t>
      </w:r>
    </w:p>
    <w:p>
      <w:pPr>
        <w:spacing w:after="0" w:line="176"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The Senior Convertible Notes will mature on February 1, 2030, unless earlier repurchased, redeemed or converted. The proceeds from the issuance of the Senior Convertible Notes were approximately $167.7 million, net of debt issuance costs totaling $4.8 million. The Senior Convertible Notes bear interest at a rate of 2.50% per year, and interest is payable semiannually in arrears on August 1 and February 1 of each year. For the three months ended March 31, 2026, we made $2.2 million in interest payments. We did not make any interest payments for the three months ended March 31, 2025. The initial conversion rate is 8.3521 shares of common stock per $1,000 principal amount of the Senior Convertible Notes, which represented an initial conversion price of approximately $119.73 per share of common stock and a premium of approximately 30% over the closing price of our common stock on December 16, 2024. In connection with the most recent payment made on March 26, 2026 of a quarterly cash dividend of $0.25 per share (an increase from the quarterly dividend amount of $0.16 per share as of the time of issuance of the Senior Convertible Notes), the conversion rate of the Senior Convertible Notes was increased to 8.3746 shares of common stock per $1,000 principal amount of the Senior Convertible Notes, which represents a conversion price of approximately $119.41 per share of common stock. A similar adjustment to the conversion rate will be made upon payment of the quarterly cash dividend of $0.25 on June 4, 2026, and upon payment of subsequent quarterly dividends in excess of $0.16 per share. The conversion rate and conversion price are subject to customary adjustments upon the occurrence of certain events as described in the Indenture.</w:t>
      </w:r>
    </w:p>
    <w:p>
      <w:pPr>
        <w:spacing w:after="0" w:line="190"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Noteholders may convert all or a portion of their Senior Convertible Notes at their option only in the following circumstances: (1) during any calendar quarter commencing after the calendar quarter ending on June 30, 2025, if the last reported sale price per share of our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five consecutive trading day period in which the trading price per $1,000 principal amount of Senior Convertible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the our common stock, as described in the Indenture; (4) if we call (or are deemed to have called) any Senior Convertible Notes for redemption; and (5) at any time from, and including, August 1, 2029, until the close of business on the second scheduled trading day immediately before the maturity date. We have the right to elect to settle conversions either in cash, shares of common stock, or in a combination of cash and shares of our common stock.</w:t>
      </w:r>
    </w:p>
    <w:p>
      <w:pPr>
        <w:spacing w:after="0" w:line="201"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18"/>
          <w:szCs w:val="18"/>
          <w:color w:val="auto"/>
        </w:rPr>
        <w:t>Prior to February 5, 2028, the Senior Convertible Notes will not be redeemable. On or after February 5, 2028, until the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we may redeem for cash all or any portion of the Senior Convertible Notes (subject to the partial redemption limitation set forth in the Indenture), at our option,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In addition, calling any Senior Convertible Note for redemption will constitute a “Make-Whole Fundamental Change” (as defined in the Indenture) with respect to that Senior Convertible Note, in which case the conversion rate applicable to the conversion of that Senior Convertible Note will be increased in certain circumstances if it is converted after it is called for redemption.</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require cash to pay our operating expenses, make capital expenditures, and pay our long-term liabilities. Since our inception, we have funded our operations through public offerings and private placements of equity securities, short-term and long-term borrowings, and funds generated from our operations.</w:t>
      </w:r>
    </w:p>
    <w:p>
      <w:pPr>
        <w:spacing w:after="0" w:line="176"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We recognized operating income of $17.8 million for the three months ended March 31, 2026, compared to $12.6 million for the three months ended March 31, 2025. We expect to fund any increased costs and expenditures from our existing cash and cash equivalents and short-term marketable securities, though our future capital requirements depend on numerous factors. These factors include, but are not limited to, the following:</w:t>
      </w:r>
    </w:p>
    <w:p>
      <w:pPr>
        <w:spacing w:after="0" w:line="68"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sales of our products and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expanding our manufacturing, marketing, sales, and distribution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associated with potential future quarterly cash dividends to our common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associated with income and other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acquisition-related payments;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initiatives to sell direct-to-hospital in new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and maintaining FDA and other regulatory clearances;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timing, and nature of acquisitions, divestitures, and other strategic transactions;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share repurchases.</w:t>
      </w:r>
    </w:p>
    <w:p>
      <w:pPr>
        <w:spacing w:after="0" w:line="22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short-term marketable securities, and the interest we earn on these balances will enable us to fund our operating expenses, capital expenditures requirements, and Senior Convertible Note interest payments for at least twelve months following the filing of this Form 10-Q and, together with our anticipated future cash, cash equivalents, and short-term marketable securities, to meet our known long-term cash requirements.</w:t>
      </w:r>
    </w:p>
    <w:p>
      <w:pPr>
        <w:spacing w:after="0" w:line="180"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We may need to raise additional funding, which might not be available on desirable terms or at all. See “Item 1A. Risk Factors” in our Annual Report on Form 10-K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20" w:type="dxa"/>
            <w:vAlign w:val="bottom"/>
            <w:gridSpan w:val="10"/>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4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100" w:type="dxa"/>
            <w:vAlign w:val="bottom"/>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(8,801)</w:t>
            </w:r>
          </w:p>
        </w:tc>
      </w:tr>
      <w:tr>
        <w:trPr>
          <w:trHeight w:val="216"/>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FF0FC"/>
          </w:tcPr>
          <w:p>
            <w:pPr>
              <w:spacing w:after="0"/>
              <w:rPr>
                <w:sz w:val="18"/>
                <w:szCs w:val="18"/>
                <w:color w:val="auto"/>
              </w:rPr>
            </w:pPr>
          </w:p>
        </w:tc>
      </w:tr>
    </w:tbl>
    <w:p>
      <w:pPr>
        <w:spacing w:after="0" w:line="22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 operating activities. </w:t>
      </w:r>
      <w:r>
        <w:rPr>
          <w:rFonts w:ascii="Times New Roman" w:cs="Times New Roman" w:eastAsia="Times New Roman" w:hAnsi="Times New Roman"/>
          <w:sz w:val="18"/>
          <w:szCs w:val="18"/>
          <w:color w:val="auto"/>
        </w:rPr>
        <w:t>Net cash provided by operating activities was $15.1 million for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consisting of $15.7 million in net income, adjusted for non-cash items of $5.7 million (including primarily depreciation and amortization of $2.6 million, stock-based compensation of $2.1 million, provisions for inventory write-offs and credit losses of $0.8 million, amortization of issuance costs on convertible senior notes of $0.2 million, foreign currency transaction effect on income of $0.1 million, offset by non-cash investment income of $0.1 million), and a net use of working capital of $6.3 million. The net cash used for working capital was driven by increases in accounts receivable of $2.5 million, decreases in accounts payable and other liabilities of $2.3 million, increases in inventory and other deferred costs of $1.4 million, and decreases in accrued interest of $1.1 million, offset by decreases in prepaid expenses and other assets of $1.0 million.</w:t>
      </w:r>
    </w:p>
    <w:p>
      <w:pPr>
        <w:spacing w:after="0" w:line="18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was $9.0 million for the three months ended March 31, 2025, </w:t>
      </w:r>
      <w:r>
        <w:rPr>
          <w:rFonts w:ascii="Times New Roman" w:cs="Times New Roman" w:eastAsia="Times New Roman" w:hAnsi="Times New Roman"/>
          <w:sz w:val="18"/>
          <w:szCs w:val="18"/>
          <w:color w:val="212529"/>
        </w:rPr>
        <w:t>consisting of $11.0 million in net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adjusted for non-cash items of $5.4 million (including primarily depreciation and amortization of $2.6 million, stock-based compensation of $2.0 million, provisions for inventory write-offs and credit losses of $0.6 million, and amortization of issuance costs on convertible senior notes of $0.2 million, offset by foreign currency effect on income of less than $0.1 million), and net use of working capital of $7.4 million. The net cash used for working capital was driven by decreases in accounts payable and other liabilities of $5.3 million, increases in accounts receivable of $4.6 million, and increases in inventory and other deferred costs of $1.3 million, offset by decreases in prepaid expenses and other assets of $2.7 million and increases in accrued interest of $1.1 million.</w:t>
      </w:r>
    </w:p>
    <w:p>
      <w:pPr>
        <w:spacing w:after="0" w:line="185" w:lineRule="exact"/>
        <w:rPr>
          <w:sz w:val="20"/>
          <w:szCs w:val="20"/>
          <w:color w:val="auto"/>
        </w:rPr>
      </w:pPr>
    </w:p>
    <w:p>
      <w:pPr>
        <w:jc w:val="both"/>
        <w:ind w:right="4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was $13.1 million for the three months ended March 31, 2026,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purchases of short-term marketable securities of $150.9 million, purchases of property and equipment of $2.8 million, and payments related to acquisitions of less than $0.1 million, offset by proceeds from the sale of short-term marketable securities of $140.6 million.</w:t>
      </w:r>
    </w:p>
    <w:p>
      <w:pPr>
        <w:spacing w:after="0" w:line="175"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$4.3 million for the three months ended March 31, 2025, </w:t>
      </w:r>
      <w:r>
        <w:rPr>
          <w:rFonts w:ascii="Times New Roman" w:cs="Times New Roman" w:eastAsia="Times New Roman" w:hAnsi="Times New Roman"/>
          <w:sz w:val="18"/>
          <w:szCs w:val="18"/>
          <w:color w:val="212529"/>
        </w:rPr>
        <w:t>consisting of purchases of short-term marketable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securities of $2.9 million, purchases of property and equipment of $1.4 million, and payments related to acquisitions of less than $0.1 million.</w:t>
      </w:r>
    </w:p>
    <w:p>
      <w:pPr>
        <w:spacing w:after="0" w:line="158" w:lineRule="exact"/>
        <w:rPr>
          <w:sz w:val="20"/>
          <w:szCs w:val="20"/>
          <w:color w:val="auto"/>
        </w:rPr>
      </w:pPr>
    </w:p>
    <w:p>
      <w:pPr>
        <w:jc w:val="both"/>
        <w:ind w:right="6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$3.2 million for the three months ended March 31, 2026,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payments of $5.7 million, offset by proceeds from stock option exercises of $2.5 million, net of shares repurchased used to pay employee payroll taxes.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right="300" w:firstLine="37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$5.2 million for the three months ended March 31, 2025, consisting of dividend payments of $4.5 million and deferred payments for acquisitions of $1.4 million, offset by proceeds from stock option exercises of $0.7 million, net of shares repurchases used to pay employee payroll taxes.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In February 2011, our Board of Directors approved a policy for the payment of quarterly cash dividends on our common stock. Future declarations of quarterly dividends and the establishment of future record and payment dates are subject to approval by our Board of Directors on a quarterly basis. The dividend activity for the periods presented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80" w:type="dxa"/>
            <w:vAlign w:val="bottom"/>
          </w:tcPr>
          <w:p>
            <w:pPr>
              <w:spacing w:after="0"/>
              <w:rPr>
                <w:sz w:val="20"/>
                <w:szCs w:val="20"/>
                <w:color w:val="auto"/>
              </w:rPr>
            </w:pPr>
          </w:p>
        </w:tc>
        <w:tc>
          <w:tcPr>
            <w:tcW w:w="26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Per Share Amount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Dividend Payment</w:t>
            </w:r>
          </w:p>
        </w:tc>
      </w:tr>
      <w:tr>
        <w:trPr>
          <w:trHeight w:val="210"/>
        </w:trPr>
        <w:tc>
          <w:tcPr>
            <w:tcW w:w="2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70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99"/>
              </w:rPr>
              <w:t>Fiscal Year 2026</w:t>
            </w:r>
          </w:p>
        </w:tc>
        <w:tc>
          <w:tcPr>
            <w:tcW w:w="18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2026</w:t>
            </w:r>
          </w:p>
        </w:tc>
        <w:tc>
          <w:tcPr>
            <w:tcW w:w="18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26, 2026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Pr>
          <w:p>
            <w:pPr>
              <w:spacing w:after="0"/>
              <w:rPr>
                <w:sz w:val="18"/>
                <w:szCs w:val="18"/>
                <w:color w:val="auto"/>
              </w:rPr>
            </w:pPr>
          </w:p>
        </w:tc>
      </w:tr>
      <w:tr>
        <w:trPr>
          <w:trHeight w:val="216"/>
        </w:trPr>
        <w:tc>
          <w:tcPr>
            <w:tcW w:w="270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99"/>
              </w:rPr>
              <w:t>Fiscal Year 2025</w:t>
            </w:r>
          </w:p>
        </w:tc>
        <w:tc>
          <w:tcPr>
            <w:tcW w:w="18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13, 2025</w:t>
            </w:r>
          </w:p>
        </w:tc>
        <w:tc>
          <w:tcPr>
            <w:tcW w:w="18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27, 2025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18"/>
                <w:szCs w:val="18"/>
                <w:color w:val="auto"/>
              </w:rPr>
            </w:pPr>
          </w:p>
        </w:tc>
      </w:tr>
      <w:tr>
        <w:trPr>
          <w:trHeight w:val="216"/>
        </w:trPr>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15, 2025</w:t>
            </w:r>
          </w:p>
        </w:tc>
        <w:tc>
          <w:tcPr>
            <w:tcW w:w="180" w:type="dxa"/>
            <w:vAlign w:val="bottom"/>
            <w:shd w:val="clear" w:color="auto" w:fill="CFF0FC"/>
          </w:tcPr>
          <w:p>
            <w:pPr>
              <w:spacing w:after="0"/>
              <w:rPr>
                <w:sz w:val="18"/>
                <w:szCs w:val="18"/>
                <w:color w:val="auto"/>
              </w:rPr>
            </w:pP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29, 2025</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shd w:val="clear" w:color="auto" w:fill="CFF0FC"/>
          </w:tcPr>
          <w:p>
            <w:pPr>
              <w:spacing w:after="0"/>
              <w:rPr>
                <w:sz w:val="18"/>
                <w:szCs w:val="18"/>
                <w:color w:val="auto"/>
              </w:rPr>
            </w:pPr>
          </w:p>
        </w:tc>
      </w:tr>
      <w:tr>
        <w:trPr>
          <w:trHeight w:val="216"/>
        </w:trPr>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21, 2025</w:t>
            </w:r>
          </w:p>
        </w:tc>
        <w:tc>
          <w:tcPr>
            <w:tcW w:w="18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4, 2025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Pr>
          <w:p>
            <w:pPr>
              <w:spacing w:after="0"/>
              <w:rPr>
                <w:sz w:val="18"/>
                <w:szCs w:val="18"/>
                <w:color w:val="auto"/>
              </w:rPr>
            </w:pPr>
          </w:p>
        </w:tc>
      </w:tr>
      <w:tr>
        <w:trPr>
          <w:trHeight w:val="216"/>
        </w:trPr>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20, 2025</w:t>
            </w:r>
          </w:p>
        </w:tc>
        <w:tc>
          <w:tcPr>
            <w:tcW w:w="180" w:type="dxa"/>
            <w:vAlign w:val="bottom"/>
            <w:shd w:val="clear" w:color="auto" w:fill="CFF0FC"/>
          </w:tcPr>
          <w:p>
            <w:pPr>
              <w:spacing w:after="0"/>
              <w:rPr>
                <w:sz w:val="18"/>
                <w:szCs w:val="18"/>
                <w:color w:val="auto"/>
              </w:rPr>
            </w:pP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4, 2025</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On April 28, 2026, our Board of Directors approved a quarterly cash dividend on its common stock of $0.25 per share payable on June 4, 2026, to stockholders of record at the close of business on May 21,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assumptions and judgments that affect the reported amounts of assets, liabilities, revenue, costs and expenses, and related disclosures. We evaluate our estimates on an ongoing basis. Our actual results may differ from these estimates under different assumptions or conditions.</w:t>
      </w:r>
    </w:p>
    <w:p>
      <w:pPr>
        <w:spacing w:after="0" w:line="180"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our consolidated financial statements and the related notes and other financial information included in our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1 to our consolidated financial statements included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7"/>
          <w:szCs w:val="17"/>
          <w:color w:val="auto"/>
        </w:rPr>
        <w:t>We are exposed to changes in interest rates and foreign currency exchange rates because we denominate our transactions in a variety of foreign currencies. Changes in these rates may have an impact on future cash flow and earnings. We manage these risks through normal operating and financing activities. There has been no material change in the foreign currency risk or interest rate risk discussed in “Management’s Discussion and Analysis of Financial Condition and Results of Operations” and in “Quantitative and Qualitative Disclosure About Market Risk” included in our 2025 Form 10-K.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and accounting officer, respectively), evaluated the effectiveness of our disclosure controls and procedures as of March 31,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line="266" w:lineRule="auto"/>
        <w:rPr>
          <w:sz w:val="20"/>
          <w:szCs w:val="20"/>
          <w:color w:val="auto"/>
        </w:rPr>
      </w:pPr>
      <w:r>
        <w:rPr>
          <w:rFonts w:ascii="Times New Roman" w:cs="Times New Roman" w:eastAsia="Times New Roman" w:hAnsi="Times New Roman"/>
          <w:sz w:val="18"/>
          <w:szCs w:val="18"/>
          <w:color w:val="auto"/>
        </w:rPr>
        <w:t>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76"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As previously disclosed, in February 2024 we began implementing a new ERP system. The ERP implementation requires the integration of new ERP software with multiple new data flows and business processes. The new ERP is designed to accurately maintain our books and records and provide information to our management teams which is important to the operations of the business. As the phased implementation of the new ERP system progresses, we expect to continue to change certain processes and procedures which, in turn, are expected to result in changes to our internal control over financial reporting. As such changes occur, we will evaluate quarterly whether such changes materially affect our internal control over financial reporting.</w:t>
      </w:r>
    </w:p>
    <w:p>
      <w:pPr>
        <w:spacing w:after="0" w:line="183"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Other than the new ERP system implementation, there have been no changes to our internal control over financial reporting during the quarter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employment, product liability, commercial arrangements, contracts, intellectual property and other matters. While the outcome of these proceedings and claims cannot be predicted with certainty, there are no matters that management believes would have a material adverse effect on our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Annual Report on Form 10-K for the year ended December 31, 2025. However, we cannot provide any assurance that any risk factor will not materialize.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3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None.</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12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 Approximate</w:t>
            </w: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(or Units)</w:t>
            </w: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that may yet be</w:t>
            </w: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35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 (or Unit)</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Program (2)</w:t>
            </w:r>
          </w:p>
        </w:tc>
        <w:tc>
          <w:tcPr>
            <w:tcW w:w="120" w:type="dxa"/>
            <w:vAlign w:val="bottom"/>
          </w:tcPr>
          <w:p>
            <w:pPr>
              <w:spacing w:after="0"/>
              <w:rPr>
                <w:sz w:val="20"/>
                <w:szCs w:val="20"/>
                <w:color w:val="auto"/>
              </w:rPr>
            </w:pPr>
          </w:p>
        </w:tc>
      </w:tr>
      <w:tr>
        <w:trPr>
          <w:trHeight w:val="210"/>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20" w:type="dxa"/>
            <w:vAlign w:val="bottom"/>
            <w:shd w:val="clear" w:color="auto" w:fill="CFF0FC"/>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2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20" w:type="dxa"/>
            <w:vAlign w:val="bottom"/>
          </w:tcPr>
          <w:p>
            <w:pPr>
              <w:spacing w:after="0"/>
              <w:rPr>
                <w:sz w:val="18"/>
                <w:szCs w:val="18"/>
                <w:color w:val="auto"/>
              </w:rPr>
            </w:pPr>
          </w:p>
        </w:tc>
      </w:tr>
      <w:tr>
        <w:trPr>
          <w:trHeight w:val="216"/>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20" w:type="dxa"/>
            <w:vAlign w:val="bottom"/>
            <w:shd w:val="clear" w:color="auto" w:fill="CFF0FC"/>
          </w:tcPr>
          <w:p>
            <w:pPr>
              <w:spacing w:after="0"/>
              <w:rPr>
                <w:sz w:val="18"/>
                <w:szCs w:val="18"/>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380" w:right="44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we repurchased 4,797 shares of our common stock to satisfy employees’ obligations with respect to minimum statutory withholding taxes in connection with the vesting of restricted stock units and performance-based restricted stock units.</w:t>
      </w:r>
    </w:p>
    <w:p>
      <w:pPr>
        <w:spacing w:after="0" w:line="53"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our Board of Directors authorized the repurchase of up to $100.0 million of our common stock through transactions on the open market, in privately negotiated purchases, or otherwise until February 18, 2027. To date, we have not made any repurchases under this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2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212529"/>
        </w:rPr>
        <w:t>On March 12, 2026, George W. LeMaitre, Chairman and CEO, adopted a Rule 10b5-1 trading arrangement that is intended to satisfy the affirmative defense conditions of Rule 10b5-1(c) for the sale of up to 200,000 shares of the Company’s common stock until March 10, 2028.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7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7"/>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3"/>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2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120" w:type="dxa"/>
            <w:vAlign w:val="bottom"/>
            <w:gridSpan w:val="4"/>
          </w:tcPr>
          <w:p>
            <w:pPr>
              <w:ind w:left="19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Number  Herewith</w:t>
            </w:r>
          </w:p>
        </w:tc>
      </w:tr>
      <w:tr>
        <w:trPr>
          <w:trHeight w:val="194"/>
        </w:trPr>
        <w:tc>
          <w:tcPr>
            <w:tcW w:w="8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6"/>
                <w:szCs w:val="16"/>
                <w:color w:val="auto"/>
              </w:rPr>
            </w:pPr>
          </w:p>
        </w:tc>
        <w:tc>
          <w:tcPr>
            <w:tcW w:w="67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Chief Executive Officer, as required by Rule 13a-14(a) or Rule 15 d-14(a).</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jc w:val="center"/>
              <w:ind w:left="970"/>
              <w:spacing w:after="0" w:line="194"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6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13a-14(a) or Rule 15d-14(a).</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jc w:val="center"/>
              <w:ind w:left="9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6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by the Chief Executive Officer, as required by Rule 13a-14(b) or Rule 15d-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 United States Code (18 U.S.C.</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7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6"/>
              </w:rPr>
              <w:t>§1350).*</w:t>
            </w: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jc w:val="center"/>
              <w:ind w:left="9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6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by the Chief Financial Officer, as required by Rule 13a-14(b) or Rule 15d-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 United States Code (18 U.S.C.</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7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6"/>
              </w:rPr>
              <w:t>§1350).*</w:t>
            </w: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jc w:val="center"/>
              <w:ind w:left="97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9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right="60" w:firstLine="8"/>
        <w:spacing w:after="0" w:line="266" w:lineRule="auto"/>
        <w:tabs>
          <w:tab w:leader="none" w:pos="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30" w:name="page31"/>
    <w:bookmarkEnd w:id="30"/>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6, 2026.</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LEMAITRE VASCULAR, INC.</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George W. LeMaitre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George W. LeMaitre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Dorian P. LeBlanc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Dorian P. LeBlanc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81" w:right="9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George W. LeMaitre, certify that:</w:t>
      </w:r>
    </w:p>
    <w:p>
      <w:pPr>
        <w:spacing w:after="0" w:line="207" w:lineRule="exact"/>
        <w:rPr>
          <w:sz w:val="20"/>
          <w:szCs w:val="20"/>
          <w:color w:val="auto"/>
        </w:rPr>
      </w:pPr>
    </w:p>
    <w:p>
      <w:pPr>
        <w:ind w:left="560" w:hanging="178"/>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LeMaitre Vascular, Inc.;</w:t>
      </w:r>
    </w:p>
    <w:p>
      <w:pPr>
        <w:spacing w:after="0" w:line="225" w:lineRule="exact"/>
        <w:rPr>
          <w:rFonts w:ascii="Times New Roman" w:cs="Times New Roman" w:eastAsia="Times New Roman" w:hAnsi="Times New Roman"/>
          <w:sz w:val="18"/>
          <w:szCs w:val="18"/>
          <w:color w:val="auto"/>
        </w:rPr>
      </w:pPr>
    </w:p>
    <w:p>
      <w:pPr>
        <w:jc w:val="both"/>
        <w:ind w:right="220" w:firstLine="382"/>
        <w:spacing w:after="0" w:line="312" w:lineRule="auto"/>
        <w:tabs>
          <w:tab w:leader="none" w:pos="5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180" w:firstLine="382"/>
        <w:spacing w:after="0" w:line="282" w:lineRule="auto"/>
        <w:tabs>
          <w:tab w:leader="none" w:pos="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82"/>
        <w:spacing w:after="0" w:line="266" w:lineRule="auto"/>
        <w:tabs>
          <w:tab w:leader="none" w:pos="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40" w:hanging="383"/>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382"/>
        <w:spacing w:after="0" w:line="282" w:lineRule="auto"/>
        <w:tabs>
          <w:tab w:leader="none" w:pos="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George W. LeMaitre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George W. LeMaitre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Dorian P. LeBlanc, certify that:</w:t>
      </w:r>
    </w:p>
    <w:p>
      <w:pPr>
        <w:spacing w:after="0" w:line="207" w:lineRule="exact"/>
        <w:rPr>
          <w:sz w:val="20"/>
          <w:szCs w:val="20"/>
          <w:color w:val="auto"/>
        </w:rPr>
      </w:pPr>
    </w:p>
    <w:p>
      <w:pPr>
        <w:ind w:left="560" w:hanging="178"/>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LeMaitre Vascular, Inc.;</w:t>
      </w:r>
    </w:p>
    <w:p>
      <w:pPr>
        <w:spacing w:after="0" w:line="225" w:lineRule="exact"/>
        <w:rPr>
          <w:rFonts w:ascii="Times New Roman" w:cs="Times New Roman" w:eastAsia="Times New Roman" w:hAnsi="Times New Roman"/>
          <w:sz w:val="18"/>
          <w:szCs w:val="18"/>
          <w:color w:val="auto"/>
        </w:rPr>
      </w:pPr>
    </w:p>
    <w:p>
      <w:pPr>
        <w:jc w:val="both"/>
        <w:ind w:right="220" w:firstLine="382"/>
        <w:spacing w:after="0" w:line="312" w:lineRule="auto"/>
        <w:tabs>
          <w:tab w:leader="none" w:pos="55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180" w:firstLine="382"/>
        <w:spacing w:after="0" w:line="282" w:lineRule="auto"/>
        <w:tabs>
          <w:tab w:leader="none" w:pos="5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82"/>
        <w:spacing w:after="0" w:line="266" w:lineRule="auto"/>
        <w:tabs>
          <w:tab w:leader="none" w:pos="5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40" w:hanging="383"/>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382"/>
        <w:spacing w:after="0" w:line="282" w:lineRule="auto"/>
        <w:tabs>
          <w:tab w:leader="none" w:pos="5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Dorian P. LeBlanc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Dorian P. LeBlanc</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Section 1350 of Chapter 63 of Title 18 of the United States Code (18 U.S.C. §1350), George W. LeMaitre, Chairman and Chief Executive Officer of LeMaitre Vascular,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certifies to the best of his knowledge that:</w:t>
      </w:r>
    </w:p>
    <w:p>
      <w:pPr>
        <w:spacing w:after="0" w:line="65" w:lineRule="exact"/>
        <w:rPr>
          <w:sz w:val="20"/>
          <w:szCs w:val="20"/>
          <w:color w:val="auto"/>
        </w:rPr>
      </w:pPr>
    </w:p>
    <w:p>
      <w:pPr>
        <w:ind w:left="760" w:right="340" w:hanging="378"/>
        <w:spacing w:after="0" w:line="284"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15(d) of the Securities Exchange Act of 1934; and</w:t>
      </w:r>
    </w:p>
    <w:p>
      <w:pPr>
        <w:spacing w:after="0" w:line="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certification is being provided pursuant to 18 U.S.C. § 1350 and is not deemed to be a part of the Report, nor is it to deemed to be “filed” for any purpose whatsoever.</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George W. LeMaitre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George W. LeMaitre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Section 1350 of Chapter 63 of Title 18 of the United States Code (18 U.S.C. §1350)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Dorian P. LeBlanc, Chief Financial Officer of LeMaitre Vascular,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certifies to the best of his knowledge that:</w:t>
      </w:r>
    </w:p>
    <w:p>
      <w:pPr>
        <w:spacing w:after="0" w:line="65" w:lineRule="exact"/>
        <w:rPr>
          <w:sz w:val="20"/>
          <w:szCs w:val="20"/>
          <w:color w:val="auto"/>
        </w:rPr>
      </w:pPr>
    </w:p>
    <w:p>
      <w:pPr>
        <w:ind w:left="760" w:hanging="378"/>
        <w:spacing w:after="0" w:line="284"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15(d) of the Securities Exchange Act of 1934; and</w:t>
      </w:r>
    </w:p>
    <w:p>
      <w:pPr>
        <w:spacing w:after="0" w:line="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certification is being provided pursuant to 18 U.S.C. § 1350 and is not deemed to be a part of the Report, nor is it to deemed to be “filed” for any purpose whatsoever.</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Dorian P. LeBlanc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Dorian P. LeBlanc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2026-05-06T05:34:07Z</dcterms:created>
  <dcterms:modified xsi:type="dcterms:W3CDTF">2026-05-06T05:34:07Z</dcterms:modified>
</cp:coreProperties>
</file>